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B2DC" w14:textId="77777777" w:rsidR="00CD5559" w:rsidRPr="001F5EE8" w:rsidRDefault="00CD5559" w:rsidP="005E616F">
      <w:pPr>
        <w:pStyle w:val="BodyText"/>
        <w:spacing w:before="4"/>
        <w:jc w:val="center"/>
        <w:rPr>
          <w:b/>
          <w:sz w:val="22"/>
          <w:szCs w:val="22"/>
        </w:rPr>
      </w:pPr>
    </w:p>
    <w:p w14:paraId="31EDFF09" w14:textId="77777777" w:rsidR="00CD5559" w:rsidRPr="001F5EE8" w:rsidRDefault="00CD5559" w:rsidP="005E616F">
      <w:pPr>
        <w:pStyle w:val="BodyText"/>
        <w:spacing w:before="4"/>
        <w:jc w:val="center"/>
        <w:rPr>
          <w:b/>
          <w:sz w:val="22"/>
          <w:szCs w:val="22"/>
        </w:rPr>
      </w:pPr>
    </w:p>
    <w:p w14:paraId="550A793C" w14:textId="77777777" w:rsidR="00CD5559" w:rsidRPr="006F2AB1" w:rsidRDefault="00CD5559" w:rsidP="005E616F">
      <w:pPr>
        <w:pStyle w:val="BodyText"/>
        <w:spacing w:before="4"/>
        <w:jc w:val="center"/>
        <w:rPr>
          <w:b/>
          <w:sz w:val="24"/>
          <w:szCs w:val="24"/>
        </w:rPr>
      </w:pPr>
    </w:p>
    <w:p w14:paraId="5BD7994F" w14:textId="5ADFC7F2" w:rsidR="00DE6DAA" w:rsidRPr="006F2AB1" w:rsidRDefault="00133B6A" w:rsidP="00DE6DAA">
      <w:pPr>
        <w:pStyle w:val="BodyText"/>
        <w:spacing w:before="4"/>
        <w:jc w:val="center"/>
        <w:rPr>
          <w:b/>
          <w:sz w:val="24"/>
          <w:szCs w:val="24"/>
        </w:rPr>
      </w:pPr>
      <w:r w:rsidRPr="006F2AB1">
        <w:rPr>
          <w:b/>
          <w:sz w:val="24"/>
          <w:szCs w:val="24"/>
        </w:rPr>
        <w:t>Minutes of the meeting of the Courts Service Boar</w:t>
      </w:r>
      <w:r w:rsidR="00DE6DAA" w:rsidRPr="006F2AB1">
        <w:rPr>
          <w:b/>
          <w:sz w:val="24"/>
          <w:szCs w:val="24"/>
        </w:rPr>
        <w:t>d</w:t>
      </w:r>
    </w:p>
    <w:p w14:paraId="147DCD90" w14:textId="4C75A9EA" w:rsidR="00133B6A" w:rsidRPr="006F2AB1" w:rsidRDefault="00B12E93" w:rsidP="00DE6DAA">
      <w:pPr>
        <w:pStyle w:val="BodyText"/>
        <w:spacing w:before="4"/>
        <w:jc w:val="center"/>
        <w:rPr>
          <w:b/>
          <w:sz w:val="24"/>
          <w:szCs w:val="24"/>
        </w:rPr>
      </w:pPr>
      <w:r>
        <w:rPr>
          <w:b/>
          <w:sz w:val="24"/>
          <w:szCs w:val="24"/>
        </w:rPr>
        <w:t>15</w:t>
      </w:r>
      <w:r w:rsidRPr="00B12E93">
        <w:rPr>
          <w:b/>
          <w:sz w:val="24"/>
          <w:szCs w:val="24"/>
          <w:vertAlign w:val="superscript"/>
        </w:rPr>
        <w:t>th</w:t>
      </w:r>
      <w:r>
        <w:rPr>
          <w:b/>
          <w:sz w:val="24"/>
          <w:szCs w:val="24"/>
        </w:rPr>
        <w:t xml:space="preserve"> July</w:t>
      </w:r>
      <w:r w:rsidR="00A330CB">
        <w:rPr>
          <w:b/>
          <w:sz w:val="24"/>
          <w:szCs w:val="24"/>
        </w:rPr>
        <w:t xml:space="preserve"> </w:t>
      </w:r>
      <w:r w:rsidR="00133B6A" w:rsidRPr="006F2AB1">
        <w:rPr>
          <w:b/>
          <w:sz w:val="24"/>
          <w:szCs w:val="24"/>
        </w:rPr>
        <w:t>2024</w:t>
      </w:r>
    </w:p>
    <w:p w14:paraId="34B262E8" w14:textId="77777777" w:rsidR="00B21DDC" w:rsidRPr="001F5EE8" w:rsidRDefault="00B21DDC" w:rsidP="00133B6A">
      <w:pPr>
        <w:pStyle w:val="BodyText"/>
        <w:spacing w:before="4"/>
        <w:jc w:val="center"/>
        <w:rPr>
          <w:b/>
          <w:sz w:val="22"/>
          <w:szCs w:val="22"/>
        </w:rPr>
      </w:pPr>
    </w:p>
    <w:p w14:paraId="744C23FC" w14:textId="77777777" w:rsidR="00E92665" w:rsidRPr="001F5EE8" w:rsidRDefault="00E92665" w:rsidP="00E92665">
      <w:pPr>
        <w:pStyle w:val="BodyText"/>
        <w:spacing w:before="4"/>
        <w:ind w:firstLine="360"/>
        <w:rPr>
          <w:b/>
          <w:sz w:val="22"/>
          <w:szCs w:val="22"/>
        </w:rPr>
      </w:pPr>
      <w:r w:rsidRPr="001F5EE8">
        <w:rPr>
          <w:b/>
          <w:sz w:val="22"/>
          <w:szCs w:val="22"/>
        </w:rPr>
        <w:t xml:space="preserve">Present: </w:t>
      </w:r>
    </w:p>
    <w:p w14:paraId="2A7831C3" w14:textId="77777777" w:rsidR="00CD5559" w:rsidRPr="001F5EE8" w:rsidRDefault="00CD5559" w:rsidP="00996BD9">
      <w:pPr>
        <w:pStyle w:val="BodyText"/>
        <w:numPr>
          <w:ilvl w:val="0"/>
          <w:numId w:val="2"/>
        </w:numPr>
        <w:tabs>
          <w:tab w:val="left" w:pos="3690"/>
        </w:tabs>
        <w:spacing w:before="4"/>
        <w:rPr>
          <w:bCs/>
          <w:sz w:val="22"/>
          <w:szCs w:val="22"/>
        </w:rPr>
      </w:pPr>
      <w:r w:rsidRPr="001F5EE8">
        <w:rPr>
          <w:bCs/>
          <w:sz w:val="22"/>
          <w:szCs w:val="22"/>
        </w:rPr>
        <w:t>The Hon. Ms. Justice Elizabeth Dunne, Chairperson of Courts Service Board</w:t>
      </w:r>
    </w:p>
    <w:p w14:paraId="6495272B" w14:textId="7B0BA8C1" w:rsidR="00E92665" w:rsidRPr="001F5EE8" w:rsidRDefault="00B12E93" w:rsidP="00996BD9">
      <w:pPr>
        <w:pStyle w:val="BodyText"/>
        <w:numPr>
          <w:ilvl w:val="0"/>
          <w:numId w:val="2"/>
        </w:numPr>
        <w:tabs>
          <w:tab w:val="left" w:pos="3690"/>
        </w:tabs>
        <w:spacing w:before="4"/>
        <w:rPr>
          <w:bCs/>
          <w:sz w:val="22"/>
          <w:szCs w:val="22"/>
        </w:rPr>
      </w:pPr>
      <w:r>
        <w:rPr>
          <w:bCs/>
          <w:sz w:val="22"/>
          <w:szCs w:val="22"/>
        </w:rPr>
        <w:t>The Hon. Mr. Justice Seamus Woulfe, Board Member.</w:t>
      </w:r>
      <w:r w:rsidR="00E92665" w:rsidRPr="001F5EE8">
        <w:rPr>
          <w:bCs/>
          <w:sz w:val="22"/>
          <w:szCs w:val="22"/>
        </w:rPr>
        <w:t xml:space="preserve">  </w:t>
      </w:r>
    </w:p>
    <w:p w14:paraId="490C8CCA" w14:textId="77777777" w:rsidR="00E92665" w:rsidRPr="001F5EE8" w:rsidRDefault="00E92665" w:rsidP="00996BD9">
      <w:pPr>
        <w:pStyle w:val="BodyText"/>
        <w:numPr>
          <w:ilvl w:val="0"/>
          <w:numId w:val="2"/>
        </w:numPr>
        <w:tabs>
          <w:tab w:val="left" w:pos="3690"/>
        </w:tabs>
        <w:spacing w:before="4"/>
        <w:rPr>
          <w:bCs/>
          <w:sz w:val="22"/>
          <w:szCs w:val="22"/>
        </w:rPr>
      </w:pPr>
      <w:r w:rsidRPr="001F5EE8">
        <w:rPr>
          <w:bCs/>
          <w:sz w:val="22"/>
          <w:szCs w:val="22"/>
        </w:rPr>
        <w:t>The Hon. Ms. Justice Tara Burns, Board Member</w:t>
      </w:r>
    </w:p>
    <w:p w14:paraId="0181F801" w14:textId="77777777" w:rsidR="00E92665" w:rsidRPr="001F5EE8" w:rsidRDefault="00E92665" w:rsidP="00996BD9">
      <w:pPr>
        <w:pStyle w:val="BodyText"/>
        <w:numPr>
          <w:ilvl w:val="0"/>
          <w:numId w:val="2"/>
        </w:numPr>
        <w:tabs>
          <w:tab w:val="left" w:pos="3690"/>
        </w:tabs>
        <w:spacing w:before="4"/>
        <w:rPr>
          <w:bCs/>
          <w:sz w:val="22"/>
          <w:szCs w:val="22"/>
        </w:rPr>
      </w:pPr>
      <w:r w:rsidRPr="001F5EE8">
        <w:rPr>
          <w:bCs/>
          <w:sz w:val="22"/>
          <w:szCs w:val="22"/>
        </w:rPr>
        <w:t>The Hon. Mr. Justice Tony O’Connor, Board Member</w:t>
      </w:r>
    </w:p>
    <w:p w14:paraId="2EEA9A7D" w14:textId="77777777" w:rsidR="00CD5559" w:rsidRDefault="00E92665" w:rsidP="00996BD9">
      <w:pPr>
        <w:pStyle w:val="BodyText"/>
        <w:numPr>
          <w:ilvl w:val="0"/>
          <w:numId w:val="2"/>
        </w:numPr>
        <w:tabs>
          <w:tab w:val="left" w:pos="3690"/>
        </w:tabs>
        <w:spacing w:before="4"/>
        <w:rPr>
          <w:bCs/>
          <w:sz w:val="22"/>
          <w:szCs w:val="22"/>
        </w:rPr>
      </w:pPr>
      <w:r w:rsidRPr="001F5EE8">
        <w:rPr>
          <w:bCs/>
          <w:sz w:val="22"/>
          <w:szCs w:val="22"/>
        </w:rPr>
        <w:t>The Hon. Ms. Justice Patricia Ryan, Board Member</w:t>
      </w:r>
    </w:p>
    <w:p w14:paraId="61670861" w14:textId="2838568A" w:rsidR="00A330CB" w:rsidRPr="001F5EE8" w:rsidRDefault="00B12E93" w:rsidP="00996BD9">
      <w:pPr>
        <w:pStyle w:val="BodyText"/>
        <w:numPr>
          <w:ilvl w:val="0"/>
          <w:numId w:val="2"/>
        </w:numPr>
        <w:tabs>
          <w:tab w:val="left" w:pos="3690"/>
        </w:tabs>
        <w:spacing w:before="4"/>
        <w:rPr>
          <w:bCs/>
          <w:sz w:val="22"/>
          <w:szCs w:val="22"/>
        </w:rPr>
      </w:pPr>
      <w:r>
        <w:rPr>
          <w:bCs/>
          <w:sz w:val="22"/>
          <w:szCs w:val="22"/>
        </w:rPr>
        <w:t>His</w:t>
      </w:r>
      <w:r w:rsidR="00A330CB">
        <w:rPr>
          <w:bCs/>
          <w:sz w:val="22"/>
          <w:szCs w:val="22"/>
        </w:rPr>
        <w:t xml:space="preserve"> Honou</w:t>
      </w:r>
      <w:r w:rsidR="00AC5264">
        <w:rPr>
          <w:bCs/>
          <w:sz w:val="22"/>
          <w:szCs w:val="22"/>
        </w:rPr>
        <w:t>r</w:t>
      </w:r>
      <w:r w:rsidR="00A330CB">
        <w:rPr>
          <w:bCs/>
          <w:sz w:val="22"/>
          <w:szCs w:val="22"/>
        </w:rPr>
        <w:t xml:space="preserve"> Judge </w:t>
      </w:r>
      <w:r>
        <w:rPr>
          <w:bCs/>
          <w:sz w:val="22"/>
          <w:szCs w:val="22"/>
        </w:rPr>
        <w:t>Keenan Johnson</w:t>
      </w:r>
      <w:r w:rsidR="00A330CB">
        <w:rPr>
          <w:bCs/>
          <w:sz w:val="22"/>
          <w:szCs w:val="22"/>
        </w:rPr>
        <w:t xml:space="preserve">, Board </w:t>
      </w:r>
      <w:r w:rsidR="00AC5264">
        <w:rPr>
          <w:bCs/>
          <w:sz w:val="22"/>
          <w:szCs w:val="22"/>
        </w:rPr>
        <w:t>Member</w:t>
      </w:r>
    </w:p>
    <w:p w14:paraId="18253E89" w14:textId="5032260D" w:rsidR="00E92665" w:rsidRPr="001F5EE8" w:rsidRDefault="00E92665" w:rsidP="00996BD9">
      <w:pPr>
        <w:pStyle w:val="BodyText"/>
        <w:numPr>
          <w:ilvl w:val="0"/>
          <w:numId w:val="2"/>
        </w:numPr>
        <w:tabs>
          <w:tab w:val="left" w:pos="3690"/>
        </w:tabs>
        <w:spacing w:before="4"/>
        <w:rPr>
          <w:bCs/>
          <w:sz w:val="22"/>
          <w:szCs w:val="22"/>
        </w:rPr>
      </w:pPr>
      <w:r w:rsidRPr="001F5EE8">
        <w:rPr>
          <w:bCs/>
          <w:sz w:val="22"/>
          <w:szCs w:val="22"/>
        </w:rPr>
        <w:t>His Honour Judge Paul Kelly, Board Member</w:t>
      </w:r>
    </w:p>
    <w:p w14:paraId="67DCD673" w14:textId="76916BA6" w:rsidR="00E92665" w:rsidRPr="001F5EE8" w:rsidRDefault="00E92665" w:rsidP="00996BD9">
      <w:pPr>
        <w:pStyle w:val="BodyText"/>
        <w:numPr>
          <w:ilvl w:val="0"/>
          <w:numId w:val="2"/>
        </w:numPr>
        <w:tabs>
          <w:tab w:val="left" w:pos="3690"/>
        </w:tabs>
        <w:spacing w:before="4"/>
        <w:rPr>
          <w:bCs/>
          <w:sz w:val="22"/>
          <w:szCs w:val="22"/>
        </w:rPr>
      </w:pPr>
      <w:r w:rsidRPr="001F5EE8">
        <w:rPr>
          <w:bCs/>
          <w:sz w:val="22"/>
          <w:szCs w:val="22"/>
        </w:rPr>
        <w:t>Judge Alan Mitchell, Board Member</w:t>
      </w:r>
      <w:r w:rsidR="00710CCE" w:rsidRPr="001F5EE8">
        <w:rPr>
          <w:bCs/>
          <w:sz w:val="22"/>
          <w:szCs w:val="22"/>
        </w:rPr>
        <w:t xml:space="preserve"> </w:t>
      </w:r>
      <w:r w:rsidR="001F43D8">
        <w:rPr>
          <w:bCs/>
          <w:sz w:val="22"/>
          <w:szCs w:val="22"/>
        </w:rPr>
        <w:t>(remotely)</w:t>
      </w:r>
    </w:p>
    <w:p w14:paraId="1E1BF1F7" w14:textId="77777777" w:rsidR="00E92665" w:rsidRPr="001F5EE8" w:rsidRDefault="00E92665" w:rsidP="00996BD9">
      <w:pPr>
        <w:pStyle w:val="BodyText"/>
        <w:numPr>
          <w:ilvl w:val="0"/>
          <w:numId w:val="2"/>
        </w:numPr>
        <w:tabs>
          <w:tab w:val="left" w:pos="3690"/>
        </w:tabs>
        <w:spacing w:before="4"/>
        <w:rPr>
          <w:bCs/>
          <w:sz w:val="22"/>
          <w:szCs w:val="22"/>
        </w:rPr>
      </w:pPr>
      <w:r w:rsidRPr="001F5EE8">
        <w:rPr>
          <w:bCs/>
          <w:sz w:val="22"/>
          <w:szCs w:val="22"/>
        </w:rPr>
        <w:t>Ms. Angela Denning, Board Member</w:t>
      </w:r>
    </w:p>
    <w:p w14:paraId="311E51B2" w14:textId="77777777" w:rsidR="00E92665" w:rsidRPr="001F5EE8" w:rsidRDefault="00E92665" w:rsidP="00996BD9">
      <w:pPr>
        <w:pStyle w:val="BodyText"/>
        <w:numPr>
          <w:ilvl w:val="0"/>
          <w:numId w:val="2"/>
        </w:numPr>
        <w:tabs>
          <w:tab w:val="left" w:pos="3690"/>
        </w:tabs>
        <w:spacing w:before="4"/>
        <w:rPr>
          <w:bCs/>
          <w:sz w:val="22"/>
          <w:szCs w:val="22"/>
        </w:rPr>
      </w:pPr>
      <w:r w:rsidRPr="001F5EE8">
        <w:rPr>
          <w:bCs/>
          <w:sz w:val="22"/>
          <w:szCs w:val="22"/>
        </w:rPr>
        <w:t>Mr. Stuart Gilhooly, Board Member</w:t>
      </w:r>
    </w:p>
    <w:p w14:paraId="7330DFA5" w14:textId="77777777" w:rsidR="00E92665" w:rsidRPr="001F5EE8" w:rsidRDefault="00E92665" w:rsidP="00996BD9">
      <w:pPr>
        <w:pStyle w:val="BodyText"/>
        <w:numPr>
          <w:ilvl w:val="0"/>
          <w:numId w:val="2"/>
        </w:numPr>
        <w:tabs>
          <w:tab w:val="left" w:pos="3690"/>
        </w:tabs>
        <w:spacing w:before="4"/>
        <w:rPr>
          <w:bCs/>
          <w:sz w:val="22"/>
          <w:szCs w:val="22"/>
        </w:rPr>
      </w:pPr>
      <w:r w:rsidRPr="001F5EE8">
        <w:rPr>
          <w:bCs/>
          <w:sz w:val="22"/>
          <w:szCs w:val="22"/>
        </w:rPr>
        <w:t>Mr. Noel Beecher, Board Member</w:t>
      </w:r>
    </w:p>
    <w:p w14:paraId="081C3A41" w14:textId="3DF37D9F" w:rsidR="001F43D8" w:rsidRPr="00A82828" w:rsidRDefault="001F43D8" w:rsidP="00996BD9">
      <w:pPr>
        <w:pStyle w:val="BodyText"/>
        <w:numPr>
          <w:ilvl w:val="0"/>
          <w:numId w:val="2"/>
        </w:numPr>
        <w:tabs>
          <w:tab w:val="left" w:pos="3690"/>
        </w:tabs>
        <w:spacing w:before="4"/>
        <w:rPr>
          <w:bCs/>
          <w:sz w:val="22"/>
          <w:szCs w:val="22"/>
        </w:rPr>
      </w:pPr>
      <w:r w:rsidRPr="00F734E6">
        <w:rPr>
          <w:bCs/>
          <w:sz w:val="22"/>
          <w:szCs w:val="22"/>
        </w:rPr>
        <w:t>Mr. Owen Reidy</w:t>
      </w:r>
      <w:r>
        <w:rPr>
          <w:bCs/>
          <w:sz w:val="22"/>
          <w:szCs w:val="22"/>
        </w:rPr>
        <w:t>, Board Member</w:t>
      </w:r>
    </w:p>
    <w:p w14:paraId="29B59F42" w14:textId="66042CA6" w:rsidR="00E92665" w:rsidRPr="001F5EE8" w:rsidRDefault="00E92665" w:rsidP="00996BD9">
      <w:pPr>
        <w:pStyle w:val="BodyText"/>
        <w:numPr>
          <w:ilvl w:val="0"/>
          <w:numId w:val="2"/>
        </w:numPr>
        <w:tabs>
          <w:tab w:val="left" w:pos="3690"/>
        </w:tabs>
        <w:spacing w:before="4"/>
        <w:rPr>
          <w:bCs/>
          <w:sz w:val="22"/>
          <w:szCs w:val="22"/>
        </w:rPr>
      </w:pPr>
      <w:r w:rsidRPr="001F5EE8">
        <w:rPr>
          <w:bCs/>
          <w:sz w:val="22"/>
          <w:szCs w:val="22"/>
        </w:rPr>
        <w:t>Ms. Rachel Woods, Board Member</w:t>
      </w:r>
    </w:p>
    <w:p w14:paraId="37AB7B1F" w14:textId="77777777" w:rsidR="00E92665" w:rsidRDefault="00E92665" w:rsidP="00996BD9">
      <w:pPr>
        <w:pStyle w:val="BodyText"/>
        <w:numPr>
          <w:ilvl w:val="0"/>
          <w:numId w:val="2"/>
        </w:numPr>
        <w:tabs>
          <w:tab w:val="left" w:pos="3690"/>
        </w:tabs>
        <w:spacing w:before="4"/>
        <w:rPr>
          <w:bCs/>
          <w:sz w:val="22"/>
          <w:szCs w:val="22"/>
        </w:rPr>
      </w:pPr>
      <w:r w:rsidRPr="001F5EE8">
        <w:rPr>
          <w:bCs/>
          <w:sz w:val="22"/>
          <w:szCs w:val="22"/>
        </w:rPr>
        <w:t>Ms. Sarah Benson, Board Member</w:t>
      </w:r>
    </w:p>
    <w:p w14:paraId="269C2555" w14:textId="33EC7A12" w:rsidR="00B12E93" w:rsidRPr="00F734E6" w:rsidRDefault="00B12E93" w:rsidP="00996BD9">
      <w:pPr>
        <w:pStyle w:val="BodyText"/>
        <w:numPr>
          <w:ilvl w:val="0"/>
          <w:numId w:val="2"/>
        </w:numPr>
        <w:tabs>
          <w:tab w:val="left" w:pos="3690"/>
        </w:tabs>
        <w:spacing w:before="4"/>
        <w:rPr>
          <w:bCs/>
          <w:sz w:val="22"/>
          <w:szCs w:val="22"/>
        </w:rPr>
      </w:pPr>
      <w:r w:rsidRPr="00F734E6">
        <w:rPr>
          <w:bCs/>
          <w:sz w:val="22"/>
          <w:szCs w:val="22"/>
        </w:rPr>
        <w:t>Mr. Derek Bunyan</w:t>
      </w:r>
      <w:r w:rsidR="001F43D8">
        <w:rPr>
          <w:bCs/>
          <w:sz w:val="22"/>
          <w:szCs w:val="22"/>
        </w:rPr>
        <w:t>, Board Member (remotely)</w:t>
      </w:r>
    </w:p>
    <w:p w14:paraId="4F50F85B" w14:textId="6358C23F" w:rsidR="00B12E93" w:rsidRPr="00F734E6" w:rsidRDefault="00B12E93" w:rsidP="00996BD9">
      <w:pPr>
        <w:pStyle w:val="BodyText"/>
        <w:numPr>
          <w:ilvl w:val="0"/>
          <w:numId w:val="2"/>
        </w:numPr>
        <w:tabs>
          <w:tab w:val="left" w:pos="3690"/>
        </w:tabs>
        <w:spacing w:before="4"/>
        <w:rPr>
          <w:bCs/>
          <w:sz w:val="22"/>
          <w:szCs w:val="22"/>
        </w:rPr>
      </w:pPr>
    </w:p>
    <w:p w14:paraId="4852ABF8" w14:textId="77777777" w:rsidR="00B12E93" w:rsidRPr="001F5EE8" w:rsidRDefault="00B12E93" w:rsidP="00B12E93">
      <w:pPr>
        <w:pStyle w:val="BodyText"/>
        <w:tabs>
          <w:tab w:val="left" w:pos="3690"/>
        </w:tabs>
        <w:spacing w:before="4"/>
        <w:ind w:left="1440"/>
        <w:rPr>
          <w:bCs/>
          <w:sz w:val="22"/>
          <w:szCs w:val="22"/>
        </w:rPr>
      </w:pPr>
    </w:p>
    <w:p w14:paraId="370CA049" w14:textId="77777777" w:rsidR="00E92665" w:rsidRPr="001F5EE8" w:rsidRDefault="00E92665" w:rsidP="001F43D8">
      <w:pPr>
        <w:pStyle w:val="BodyText"/>
        <w:tabs>
          <w:tab w:val="left" w:pos="3690"/>
        </w:tabs>
        <w:spacing w:before="4"/>
        <w:rPr>
          <w:bCs/>
          <w:sz w:val="22"/>
          <w:szCs w:val="22"/>
        </w:rPr>
      </w:pPr>
    </w:p>
    <w:p w14:paraId="7A6DD59A" w14:textId="77777777" w:rsidR="00E92665" w:rsidRDefault="00E92665" w:rsidP="00E92665">
      <w:pPr>
        <w:pStyle w:val="BodyText"/>
        <w:tabs>
          <w:tab w:val="left" w:pos="3690"/>
        </w:tabs>
        <w:spacing w:before="4"/>
        <w:ind w:left="360"/>
        <w:rPr>
          <w:b/>
          <w:sz w:val="22"/>
          <w:szCs w:val="22"/>
        </w:rPr>
      </w:pPr>
      <w:r w:rsidRPr="00F734E6">
        <w:rPr>
          <w:b/>
          <w:sz w:val="22"/>
          <w:szCs w:val="22"/>
        </w:rPr>
        <w:t xml:space="preserve">Apologies </w:t>
      </w:r>
    </w:p>
    <w:p w14:paraId="028454E5" w14:textId="77777777" w:rsidR="001F43D8" w:rsidRDefault="001F43D8" w:rsidP="00E92665">
      <w:pPr>
        <w:pStyle w:val="BodyText"/>
        <w:tabs>
          <w:tab w:val="left" w:pos="3690"/>
        </w:tabs>
        <w:spacing w:before="4"/>
        <w:ind w:left="360"/>
        <w:rPr>
          <w:b/>
          <w:sz w:val="22"/>
          <w:szCs w:val="22"/>
        </w:rPr>
      </w:pPr>
    </w:p>
    <w:p w14:paraId="46D9C70F" w14:textId="77777777" w:rsidR="001F43D8" w:rsidRPr="001F5EE8" w:rsidRDefault="001F43D8" w:rsidP="00996BD9">
      <w:pPr>
        <w:pStyle w:val="BodyText"/>
        <w:numPr>
          <w:ilvl w:val="0"/>
          <w:numId w:val="2"/>
        </w:numPr>
        <w:tabs>
          <w:tab w:val="left" w:pos="3690"/>
        </w:tabs>
        <w:spacing w:before="4"/>
        <w:rPr>
          <w:bCs/>
          <w:sz w:val="22"/>
          <w:szCs w:val="22"/>
        </w:rPr>
      </w:pPr>
      <w:r w:rsidRPr="001F5EE8">
        <w:rPr>
          <w:bCs/>
          <w:sz w:val="22"/>
          <w:szCs w:val="22"/>
        </w:rPr>
        <w:t>The Hon. Mr. Justice George Birmingham, Board Member</w:t>
      </w:r>
    </w:p>
    <w:p w14:paraId="2BB65574" w14:textId="77777777" w:rsidR="001F43D8" w:rsidRDefault="001F43D8" w:rsidP="00996BD9">
      <w:pPr>
        <w:pStyle w:val="BodyText"/>
        <w:numPr>
          <w:ilvl w:val="0"/>
          <w:numId w:val="2"/>
        </w:numPr>
        <w:tabs>
          <w:tab w:val="left" w:pos="3690"/>
        </w:tabs>
        <w:spacing w:before="4"/>
        <w:rPr>
          <w:bCs/>
          <w:sz w:val="22"/>
          <w:szCs w:val="22"/>
        </w:rPr>
      </w:pPr>
      <w:r w:rsidRPr="001F5EE8">
        <w:rPr>
          <w:bCs/>
          <w:sz w:val="22"/>
          <w:szCs w:val="22"/>
        </w:rPr>
        <w:t>The Hon. Mr. Justice David Barniville, Board Member</w:t>
      </w:r>
    </w:p>
    <w:p w14:paraId="306F620D" w14:textId="77777777" w:rsidR="001F43D8" w:rsidRPr="00A82828" w:rsidRDefault="001F43D8" w:rsidP="00996BD9">
      <w:pPr>
        <w:pStyle w:val="BodyText"/>
        <w:numPr>
          <w:ilvl w:val="0"/>
          <w:numId w:val="2"/>
        </w:numPr>
        <w:tabs>
          <w:tab w:val="left" w:pos="3690"/>
        </w:tabs>
        <w:spacing w:before="4"/>
        <w:rPr>
          <w:bCs/>
          <w:sz w:val="22"/>
          <w:szCs w:val="22"/>
        </w:rPr>
      </w:pPr>
      <w:r w:rsidRPr="001F5EE8">
        <w:rPr>
          <w:bCs/>
          <w:sz w:val="22"/>
          <w:szCs w:val="22"/>
        </w:rPr>
        <w:t>Ms. Sara Phelan, Board Member</w:t>
      </w:r>
    </w:p>
    <w:p w14:paraId="430EF8E6" w14:textId="77777777" w:rsidR="001F43D8" w:rsidRDefault="001F43D8" w:rsidP="001F43D8">
      <w:pPr>
        <w:pStyle w:val="BodyText"/>
        <w:tabs>
          <w:tab w:val="left" w:pos="3690"/>
        </w:tabs>
        <w:spacing w:before="4"/>
        <w:rPr>
          <w:bCs/>
          <w:sz w:val="22"/>
          <w:szCs w:val="22"/>
        </w:rPr>
      </w:pPr>
    </w:p>
    <w:p w14:paraId="7F76F293" w14:textId="77777777" w:rsidR="00B12E93" w:rsidRPr="001F5EE8" w:rsidRDefault="00B12E93" w:rsidP="00E92665">
      <w:pPr>
        <w:pStyle w:val="BodyText"/>
        <w:tabs>
          <w:tab w:val="left" w:pos="3690"/>
        </w:tabs>
        <w:spacing w:before="4"/>
        <w:ind w:left="360"/>
        <w:rPr>
          <w:bCs/>
          <w:sz w:val="22"/>
          <w:szCs w:val="22"/>
        </w:rPr>
      </w:pPr>
    </w:p>
    <w:p w14:paraId="01AEC71B" w14:textId="77777777" w:rsidR="00E92665" w:rsidRPr="001F5EE8" w:rsidRDefault="00E92665" w:rsidP="00E92665">
      <w:pPr>
        <w:pStyle w:val="BodyText"/>
        <w:spacing w:before="4"/>
        <w:rPr>
          <w:bCs/>
          <w:sz w:val="22"/>
          <w:szCs w:val="22"/>
        </w:rPr>
      </w:pPr>
    </w:p>
    <w:p w14:paraId="2919087D" w14:textId="212FB571" w:rsidR="00E92665" w:rsidRPr="001F5EE8" w:rsidRDefault="00E92665" w:rsidP="00E92665">
      <w:pPr>
        <w:pStyle w:val="BodyText"/>
        <w:tabs>
          <w:tab w:val="left" w:pos="3690"/>
        </w:tabs>
        <w:spacing w:before="4"/>
        <w:rPr>
          <w:b/>
          <w:sz w:val="22"/>
          <w:szCs w:val="22"/>
        </w:rPr>
      </w:pPr>
      <w:r w:rsidRPr="001F5EE8">
        <w:rPr>
          <w:b/>
          <w:sz w:val="22"/>
          <w:szCs w:val="22"/>
        </w:rPr>
        <w:t xml:space="preserve">       </w:t>
      </w:r>
      <w:proofErr w:type="gramStart"/>
      <w:r w:rsidRPr="001F5EE8">
        <w:rPr>
          <w:b/>
          <w:sz w:val="22"/>
          <w:szCs w:val="22"/>
        </w:rPr>
        <w:t>Also</w:t>
      </w:r>
      <w:proofErr w:type="gramEnd"/>
      <w:r w:rsidRPr="001F5EE8">
        <w:rPr>
          <w:b/>
          <w:sz w:val="22"/>
          <w:szCs w:val="22"/>
        </w:rPr>
        <w:t xml:space="preserve"> in attendance</w:t>
      </w:r>
    </w:p>
    <w:p w14:paraId="59F2AED1" w14:textId="07223178" w:rsidR="00E92665" w:rsidRPr="001F5EE8" w:rsidRDefault="00E92665" w:rsidP="00AA15EB">
      <w:pPr>
        <w:pStyle w:val="BodyText"/>
        <w:tabs>
          <w:tab w:val="left" w:pos="3690"/>
        </w:tabs>
        <w:spacing w:before="4"/>
        <w:rPr>
          <w:bCs/>
          <w:sz w:val="22"/>
          <w:szCs w:val="22"/>
        </w:rPr>
      </w:pPr>
      <w:r w:rsidRPr="001F5EE8">
        <w:rPr>
          <w:b/>
          <w:sz w:val="22"/>
          <w:szCs w:val="22"/>
        </w:rPr>
        <w:t xml:space="preserve">       </w:t>
      </w:r>
    </w:p>
    <w:p w14:paraId="78CED203" w14:textId="033E29B7" w:rsidR="00A330CB" w:rsidRDefault="00E92665" w:rsidP="00996BD9">
      <w:pPr>
        <w:pStyle w:val="BodyText"/>
        <w:numPr>
          <w:ilvl w:val="0"/>
          <w:numId w:val="3"/>
        </w:numPr>
        <w:spacing w:before="4"/>
        <w:rPr>
          <w:bCs/>
          <w:sz w:val="22"/>
          <w:szCs w:val="22"/>
        </w:rPr>
      </w:pPr>
      <w:r w:rsidRPr="001F5EE8">
        <w:rPr>
          <w:bCs/>
          <w:sz w:val="22"/>
          <w:szCs w:val="22"/>
        </w:rPr>
        <w:t xml:space="preserve">Mr. John Cleere, Head of </w:t>
      </w:r>
      <w:r w:rsidR="00CD5559" w:rsidRPr="001F5EE8">
        <w:rPr>
          <w:bCs/>
          <w:sz w:val="22"/>
          <w:szCs w:val="22"/>
        </w:rPr>
        <w:t>C</w:t>
      </w:r>
      <w:r w:rsidRPr="001F5EE8">
        <w:rPr>
          <w:bCs/>
          <w:sz w:val="22"/>
          <w:szCs w:val="22"/>
        </w:rPr>
        <w:t xml:space="preserve">orporate </w:t>
      </w:r>
      <w:r w:rsidR="00AA15EB" w:rsidRPr="001F5EE8">
        <w:rPr>
          <w:bCs/>
          <w:sz w:val="22"/>
          <w:szCs w:val="22"/>
        </w:rPr>
        <w:t>S</w:t>
      </w:r>
      <w:r w:rsidRPr="001F5EE8">
        <w:rPr>
          <w:bCs/>
          <w:sz w:val="22"/>
          <w:szCs w:val="22"/>
        </w:rPr>
        <w:t>ervices</w:t>
      </w:r>
    </w:p>
    <w:p w14:paraId="3A771957" w14:textId="77777777" w:rsidR="00AA15EB" w:rsidRPr="001F5EE8" w:rsidRDefault="00AA15EB" w:rsidP="00996BD9">
      <w:pPr>
        <w:pStyle w:val="BodyText"/>
        <w:numPr>
          <w:ilvl w:val="0"/>
          <w:numId w:val="3"/>
        </w:numPr>
        <w:spacing w:before="4"/>
        <w:rPr>
          <w:bCs/>
          <w:sz w:val="22"/>
          <w:szCs w:val="22"/>
        </w:rPr>
      </w:pPr>
      <w:r w:rsidRPr="001F5EE8">
        <w:rPr>
          <w:bCs/>
          <w:sz w:val="22"/>
          <w:szCs w:val="22"/>
        </w:rPr>
        <w:t>Ms. Lisa Scott, Secretary to the Board</w:t>
      </w:r>
    </w:p>
    <w:p w14:paraId="09E71C75" w14:textId="4DE43AAE" w:rsidR="00AA15EB" w:rsidRPr="001F5EE8" w:rsidRDefault="00AA15EB" w:rsidP="00996BD9">
      <w:pPr>
        <w:pStyle w:val="BodyText"/>
        <w:numPr>
          <w:ilvl w:val="0"/>
          <w:numId w:val="3"/>
        </w:numPr>
        <w:spacing w:before="4"/>
        <w:rPr>
          <w:bCs/>
          <w:sz w:val="22"/>
          <w:szCs w:val="22"/>
        </w:rPr>
      </w:pPr>
      <w:r w:rsidRPr="001F5EE8">
        <w:rPr>
          <w:bCs/>
          <w:sz w:val="22"/>
          <w:szCs w:val="22"/>
        </w:rPr>
        <w:t>Ms. Rachel Murphy, Secretariat</w:t>
      </w:r>
    </w:p>
    <w:p w14:paraId="0DE46BAC" w14:textId="77777777" w:rsidR="00176366" w:rsidRPr="001F5EE8" w:rsidRDefault="00176366" w:rsidP="00CD5559">
      <w:pPr>
        <w:pStyle w:val="BodyText"/>
        <w:spacing w:before="4"/>
        <w:ind w:left="420"/>
        <w:rPr>
          <w:bCs/>
          <w:sz w:val="22"/>
          <w:szCs w:val="22"/>
        </w:rPr>
      </w:pPr>
    </w:p>
    <w:p w14:paraId="001F8026" w14:textId="77777777" w:rsidR="00176366" w:rsidRPr="001F5EE8" w:rsidRDefault="00176366" w:rsidP="00CD5559">
      <w:pPr>
        <w:pStyle w:val="BodyText"/>
        <w:spacing w:before="4"/>
        <w:ind w:left="420"/>
        <w:rPr>
          <w:bCs/>
          <w:sz w:val="22"/>
          <w:szCs w:val="22"/>
        </w:rPr>
      </w:pPr>
    </w:p>
    <w:p w14:paraId="747D9BF2" w14:textId="761F6F1D" w:rsidR="00E92665" w:rsidRPr="001F5EE8" w:rsidRDefault="00E92665" w:rsidP="00CD5559">
      <w:pPr>
        <w:pStyle w:val="BodyText"/>
        <w:spacing w:before="4"/>
        <w:ind w:left="420"/>
        <w:rPr>
          <w:bCs/>
          <w:sz w:val="22"/>
          <w:szCs w:val="22"/>
        </w:rPr>
      </w:pPr>
      <w:r w:rsidRPr="001F5EE8">
        <w:rPr>
          <w:sz w:val="22"/>
          <w:szCs w:val="22"/>
          <w:lang w:val="en-GB"/>
        </w:rPr>
        <w:t>A Quorum was reached.</w:t>
      </w:r>
    </w:p>
    <w:p w14:paraId="762820B7" w14:textId="2CAA575E" w:rsidR="005A6F2A" w:rsidRPr="001F5EE8" w:rsidRDefault="005A6F2A" w:rsidP="005A6F2A">
      <w:pPr>
        <w:rPr>
          <w:rFonts w:ascii="Arial" w:hAnsi="Arial" w:cs="Arial"/>
          <w:lang w:val="en-US"/>
        </w:rPr>
      </w:pPr>
    </w:p>
    <w:p w14:paraId="73F083C8" w14:textId="39DE8EE6" w:rsidR="00CD5559" w:rsidRPr="001F5EE8" w:rsidRDefault="00CD5559" w:rsidP="00630872">
      <w:pPr>
        <w:spacing w:after="120" w:line="360" w:lineRule="auto"/>
        <w:rPr>
          <w:rFonts w:ascii="Arial" w:hAnsi="Arial" w:cs="Arial"/>
        </w:rPr>
      </w:pPr>
      <w:r w:rsidRPr="001F5EE8">
        <w:rPr>
          <w:rFonts w:ascii="Arial" w:hAnsi="Arial" w:cs="Arial"/>
        </w:rPr>
        <w:br w:type="page"/>
      </w:r>
    </w:p>
    <w:p w14:paraId="2A1CDCE8" w14:textId="77777777" w:rsidR="00BB3E0A" w:rsidRPr="001F5EE8" w:rsidRDefault="00BB3E0A" w:rsidP="00630872">
      <w:pPr>
        <w:spacing w:after="120" w:line="360" w:lineRule="auto"/>
        <w:rPr>
          <w:rFonts w:ascii="Arial" w:hAnsi="Arial" w:cs="Arial"/>
        </w:rPr>
      </w:pPr>
    </w:p>
    <w:p w14:paraId="3ED8A9CE" w14:textId="53726905" w:rsidR="004F11EC" w:rsidRPr="001F5EE8" w:rsidRDefault="004F11EC" w:rsidP="00630872">
      <w:pPr>
        <w:spacing w:after="120" w:line="360" w:lineRule="auto"/>
        <w:rPr>
          <w:rFonts w:ascii="Arial" w:hAnsi="Arial" w:cs="Arial"/>
        </w:rPr>
      </w:pPr>
      <w:r w:rsidRPr="001F5EE8">
        <w:rPr>
          <w:rFonts w:ascii="Arial" w:hAnsi="Arial" w:cs="Arial"/>
        </w:rPr>
        <w:t>1.</w:t>
      </w:r>
      <w:r w:rsidRPr="001F5EE8">
        <w:rPr>
          <w:rFonts w:ascii="Arial" w:hAnsi="Arial" w:cs="Arial"/>
          <w:b/>
          <w:bCs/>
        </w:rPr>
        <w:tab/>
        <w:t xml:space="preserve">Minutes of the meeting </w:t>
      </w:r>
      <w:r w:rsidR="00B12E93">
        <w:rPr>
          <w:rFonts w:ascii="Arial" w:hAnsi="Arial" w:cs="Arial"/>
          <w:b/>
          <w:bCs/>
        </w:rPr>
        <w:t>13</w:t>
      </w:r>
      <w:r w:rsidR="00B12E93" w:rsidRPr="00B12E93">
        <w:rPr>
          <w:rFonts w:ascii="Arial" w:hAnsi="Arial" w:cs="Arial"/>
          <w:b/>
          <w:bCs/>
          <w:vertAlign w:val="superscript"/>
        </w:rPr>
        <w:t>th</w:t>
      </w:r>
      <w:r w:rsidR="00B12E93">
        <w:rPr>
          <w:rFonts w:ascii="Arial" w:hAnsi="Arial" w:cs="Arial"/>
          <w:b/>
          <w:bCs/>
        </w:rPr>
        <w:t xml:space="preserve"> May</w:t>
      </w:r>
    </w:p>
    <w:p w14:paraId="35F9A471" w14:textId="3010266D" w:rsidR="00A91D05" w:rsidRPr="00234273" w:rsidRDefault="00E92665" w:rsidP="00CD5559">
      <w:pPr>
        <w:spacing w:after="120" w:line="360" w:lineRule="auto"/>
        <w:rPr>
          <w:rFonts w:ascii="Arial" w:hAnsi="Arial" w:cs="Arial"/>
        </w:rPr>
      </w:pPr>
      <w:r w:rsidRPr="00234273">
        <w:rPr>
          <w:rFonts w:ascii="Arial" w:hAnsi="Arial" w:cs="Arial"/>
        </w:rPr>
        <w:t xml:space="preserve">The minutes were </w:t>
      </w:r>
      <w:r w:rsidR="00B21DDC" w:rsidRPr="00234273">
        <w:rPr>
          <w:rFonts w:ascii="Arial" w:hAnsi="Arial" w:cs="Arial"/>
        </w:rPr>
        <w:t>approved</w:t>
      </w:r>
      <w:r w:rsidR="00187C99" w:rsidRPr="00234273">
        <w:rPr>
          <w:rFonts w:ascii="Arial" w:hAnsi="Arial" w:cs="Arial"/>
        </w:rPr>
        <w:t xml:space="preserve">, </w:t>
      </w:r>
      <w:r w:rsidR="001F43D8" w:rsidRPr="00234273">
        <w:rPr>
          <w:rFonts w:ascii="Arial" w:hAnsi="Arial" w:cs="Arial"/>
        </w:rPr>
        <w:t>subject to an amendment to the list of attendees</w:t>
      </w:r>
      <w:r w:rsidR="00234273" w:rsidRPr="00234273">
        <w:rPr>
          <w:rFonts w:ascii="Arial" w:hAnsi="Arial" w:cs="Arial"/>
        </w:rPr>
        <w:t xml:space="preserve"> to include Mr Justice Woulfe. </w:t>
      </w:r>
    </w:p>
    <w:p w14:paraId="79B6F9B8" w14:textId="77777777" w:rsidR="000D4FE5" w:rsidRPr="001F5EE8" w:rsidRDefault="000D4FE5" w:rsidP="00195B2C">
      <w:pPr>
        <w:adjustRightInd w:val="0"/>
        <w:spacing w:after="0"/>
        <w:rPr>
          <w:rFonts w:ascii="Arial" w:hAnsi="Arial" w:cs="Arial"/>
        </w:rPr>
      </w:pPr>
    </w:p>
    <w:p w14:paraId="7B96F35D" w14:textId="77777777" w:rsidR="000D4FE5" w:rsidRPr="001F5EE8" w:rsidRDefault="000D4FE5" w:rsidP="00195B2C">
      <w:pPr>
        <w:pStyle w:val="BodyText"/>
        <w:ind w:left="567"/>
        <w:rPr>
          <w:b/>
          <w:bCs/>
          <w:sz w:val="22"/>
          <w:szCs w:val="22"/>
          <w:lang w:val="en-GB"/>
        </w:rPr>
      </w:pPr>
      <w:r w:rsidRPr="001F5EE8">
        <w:rPr>
          <w:b/>
          <w:bCs/>
          <w:sz w:val="22"/>
          <w:szCs w:val="22"/>
          <w:lang w:val="en-GB"/>
        </w:rPr>
        <w:t>Meeting actions and Decisions</w:t>
      </w:r>
    </w:p>
    <w:tbl>
      <w:tblPr>
        <w:tblStyle w:val="TableGrid"/>
        <w:tblW w:w="9214" w:type="dxa"/>
        <w:tblInd w:w="137" w:type="dxa"/>
        <w:tblLook w:val="04A0" w:firstRow="1" w:lastRow="0" w:firstColumn="1" w:lastColumn="0" w:noHBand="0" w:noVBand="1"/>
      </w:tblPr>
      <w:tblGrid>
        <w:gridCol w:w="1507"/>
        <w:gridCol w:w="1674"/>
        <w:gridCol w:w="1824"/>
        <w:gridCol w:w="1023"/>
        <w:gridCol w:w="1720"/>
        <w:gridCol w:w="1466"/>
      </w:tblGrid>
      <w:tr w:rsidR="00E61975" w:rsidRPr="001F5EE8" w14:paraId="61641EAC" w14:textId="77777777" w:rsidTr="00E70CEA">
        <w:tc>
          <w:tcPr>
            <w:tcW w:w="1572" w:type="dxa"/>
          </w:tcPr>
          <w:p w14:paraId="690329CC" w14:textId="77777777" w:rsidR="000D4FE5" w:rsidRPr="001F5EE8" w:rsidRDefault="000D4FE5" w:rsidP="00195B2C">
            <w:pPr>
              <w:rPr>
                <w:rFonts w:ascii="Arial" w:hAnsi="Arial" w:cs="Arial"/>
                <w:b/>
                <w:bCs/>
              </w:rPr>
            </w:pPr>
            <w:r w:rsidRPr="001F5EE8">
              <w:rPr>
                <w:rFonts w:ascii="Arial" w:hAnsi="Arial" w:cs="Arial"/>
                <w:b/>
                <w:bCs/>
              </w:rPr>
              <w:t>Action No.</w:t>
            </w:r>
          </w:p>
        </w:tc>
        <w:tc>
          <w:tcPr>
            <w:tcW w:w="1789" w:type="dxa"/>
          </w:tcPr>
          <w:p w14:paraId="3967706B" w14:textId="77777777" w:rsidR="000D4FE5" w:rsidRPr="001F5EE8" w:rsidRDefault="000D4FE5" w:rsidP="00195B2C">
            <w:pPr>
              <w:rPr>
                <w:rFonts w:ascii="Arial" w:hAnsi="Arial" w:cs="Arial"/>
                <w:b/>
                <w:bCs/>
              </w:rPr>
            </w:pPr>
            <w:r w:rsidRPr="001F5EE8">
              <w:rPr>
                <w:rFonts w:ascii="Arial" w:hAnsi="Arial" w:cs="Arial"/>
                <w:b/>
                <w:bCs/>
              </w:rPr>
              <w:t>Report</w:t>
            </w:r>
          </w:p>
        </w:tc>
        <w:tc>
          <w:tcPr>
            <w:tcW w:w="1868" w:type="dxa"/>
          </w:tcPr>
          <w:p w14:paraId="505095A2" w14:textId="77777777" w:rsidR="000D4FE5" w:rsidRPr="001F5EE8" w:rsidRDefault="000D4FE5" w:rsidP="00195B2C">
            <w:pPr>
              <w:rPr>
                <w:rFonts w:ascii="Arial" w:hAnsi="Arial" w:cs="Arial"/>
                <w:b/>
                <w:bCs/>
              </w:rPr>
            </w:pPr>
            <w:r w:rsidRPr="001F5EE8">
              <w:rPr>
                <w:rFonts w:ascii="Arial" w:hAnsi="Arial" w:cs="Arial"/>
                <w:b/>
                <w:bCs/>
              </w:rPr>
              <w:t xml:space="preserve">Action </w:t>
            </w:r>
          </w:p>
        </w:tc>
        <w:tc>
          <w:tcPr>
            <w:tcW w:w="1023" w:type="dxa"/>
          </w:tcPr>
          <w:p w14:paraId="3E893CBF" w14:textId="77777777" w:rsidR="000D4FE5" w:rsidRPr="001F5EE8" w:rsidRDefault="000D4FE5" w:rsidP="00195B2C">
            <w:pPr>
              <w:rPr>
                <w:rFonts w:ascii="Arial" w:hAnsi="Arial" w:cs="Arial"/>
                <w:b/>
                <w:bCs/>
              </w:rPr>
            </w:pPr>
            <w:r w:rsidRPr="001F5EE8">
              <w:rPr>
                <w:rFonts w:ascii="Arial" w:hAnsi="Arial" w:cs="Arial"/>
                <w:b/>
                <w:bCs/>
              </w:rPr>
              <w:t>Update/ Status</w:t>
            </w:r>
          </w:p>
        </w:tc>
        <w:tc>
          <w:tcPr>
            <w:tcW w:w="1720" w:type="dxa"/>
          </w:tcPr>
          <w:p w14:paraId="31EC3D82" w14:textId="77777777" w:rsidR="000D4FE5" w:rsidRPr="001F5EE8" w:rsidRDefault="000D4FE5" w:rsidP="00195B2C">
            <w:pPr>
              <w:rPr>
                <w:rFonts w:ascii="Arial" w:hAnsi="Arial" w:cs="Arial"/>
                <w:b/>
                <w:bCs/>
              </w:rPr>
            </w:pPr>
            <w:r w:rsidRPr="001F5EE8">
              <w:rPr>
                <w:rFonts w:ascii="Arial" w:hAnsi="Arial" w:cs="Arial"/>
                <w:b/>
                <w:bCs/>
              </w:rPr>
              <w:t>Responsibility</w:t>
            </w:r>
          </w:p>
        </w:tc>
        <w:tc>
          <w:tcPr>
            <w:tcW w:w="1242" w:type="dxa"/>
          </w:tcPr>
          <w:p w14:paraId="4F008110" w14:textId="77777777" w:rsidR="000D4FE5" w:rsidRPr="001F5EE8" w:rsidRDefault="000D4FE5" w:rsidP="00195B2C">
            <w:pPr>
              <w:ind w:right="797"/>
              <w:rPr>
                <w:rFonts w:ascii="Arial" w:hAnsi="Arial" w:cs="Arial"/>
                <w:b/>
                <w:bCs/>
              </w:rPr>
            </w:pPr>
            <w:r w:rsidRPr="001F5EE8">
              <w:rPr>
                <w:rFonts w:ascii="Arial" w:hAnsi="Arial" w:cs="Arial"/>
                <w:b/>
                <w:bCs/>
              </w:rPr>
              <w:t>Due date</w:t>
            </w:r>
          </w:p>
        </w:tc>
      </w:tr>
      <w:tr w:rsidR="00E61975" w:rsidRPr="001F5EE8" w14:paraId="1B1C1EB5" w14:textId="77777777" w:rsidTr="00E70CEA">
        <w:tc>
          <w:tcPr>
            <w:tcW w:w="1572" w:type="dxa"/>
          </w:tcPr>
          <w:p w14:paraId="17691C54" w14:textId="32282F70" w:rsidR="00D94A84" w:rsidRPr="001F5EE8" w:rsidRDefault="00902051" w:rsidP="004B2EF9">
            <w:pPr>
              <w:ind w:left="-213" w:firstLine="142"/>
              <w:rPr>
                <w:rFonts w:ascii="Arial" w:hAnsi="Arial" w:cs="Arial"/>
              </w:rPr>
            </w:pPr>
            <w:r>
              <w:rPr>
                <w:rFonts w:ascii="Arial" w:hAnsi="Arial" w:cs="Arial"/>
              </w:rPr>
              <w:t xml:space="preserve">CSB </w:t>
            </w:r>
            <w:r w:rsidR="00ED6693">
              <w:rPr>
                <w:rFonts w:ascii="Arial" w:hAnsi="Arial" w:cs="Arial"/>
              </w:rPr>
              <w:t>22</w:t>
            </w:r>
            <w:r>
              <w:rPr>
                <w:rFonts w:ascii="Arial" w:hAnsi="Arial" w:cs="Arial"/>
              </w:rPr>
              <w:t>/2024</w:t>
            </w:r>
          </w:p>
        </w:tc>
        <w:tc>
          <w:tcPr>
            <w:tcW w:w="1789" w:type="dxa"/>
          </w:tcPr>
          <w:p w14:paraId="36707D8F" w14:textId="27B42B75" w:rsidR="00D94A84" w:rsidRPr="00195B2C" w:rsidRDefault="00ED6693" w:rsidP="004B2EF9">
            <w:pPr>
              <w:rPr>
                <w:rFonts w:ascii="Arial" w:hAnsi="Arial" w:cs="Arial"/>
              </w:rPr>
            </w:pPr>
            <w:r>
              <w:rPr>
                <w:rFonts w:ascii="Arial" w:hAnsi="Arial" w:cs="Arial"/>
              </w:rPr>
              <w:t>45</w:t>
            </w:r>
            <w:r w:rsidR="00363457">
              <w:rPr>
                <w:rFonts w:ascii="Arial" w:hAnsi="Arial" w:cs="Arial"/>
              </w:rPr>
              <w:t>/2024</w:t>
            </w:r>
          </w:p>
        </w:tc>
        <w:tc>
          <w:tcPr>
            <w:tcW w:w="1868" w:type="dxa"/>
          </w:tcPr>
          <w:p w14:paraId="20A876AF" w14:textId="520AA2A5" w:rsidR="00ED6693" w:rsidRPr="00ED6693" w:rsidRDefault="00ED6693" w:rsidP="004B2EF9">
            <w:pPr>
              <w:rPr>
                <w:rFonts w:ascii="Arial" w:hAnsi="Arial" w:cs="Arial"/>
              </w:rPr>
            </w:pPr>
            <w:r>
              <w:rPr>
                <w:rFonts w:ascii="Arial" w:hAnsi="Arial" w:cs="Arial"/>
              </w:rPr>
              <w:t xml:space="preserve">Ms Denning is to discuss issues raised regarding </w:t>
            </w:r>
            <w:r w:rsidRPr="00ED6693">
              <w:rPr>
                <w:rFonts w:ascii="Arial" w:hAnsi="Arial" w:cs="Arial"/>
              </w:rPr>
              <w:t xml:space="preserve">staffing for additional sittings. </w:t>
            </w:r>
          </w:p>
          <w:p w14:paraId="148DB5E3" w14:textId="58E43B78" w:rsidR="00D94A84" w:rsidRDefault="00ED6693" w:rsidP="004B2EF9">
            <w:pPr>
              <w:rPr>
                <w:rFonts w:ascii="Arial" w:hAnsi="Arial" w:cs="Arial"/>
              </w:rPr>
            </w:pPr>
            <w:r w:rsidRPr="00ED6693">
              <w:rPr>
                <w:rFonts w:ascii="Arial" w:hAnsi="Arial" w:cs="Arial"/>
              </w:rPr>
              <w:t>with Mr Bunyan</w:t>
            </w:r>
          </w:p>
        </w:tc>
        <w:tc>
          <w:tcPr>
            <w:tcW w:w="1023" w:type="dxa"/>
          </w:tcPr>
          <w:p w14:paraId="1B877E43" w14:textId="77777777" w:rsidR="00D94A84" w:rsidRPr="001F5EE8" w:rsidRDefault="00D94A84" w:rsidP="004B2EF9">
            <w:pPr>
              <w:pStyle w:val="TableParagraph"/>
              <w:tabs>
                <w:tab w:val="left" w:pos="851"/>
              </w:tabs>
              <w:spacing w:before="0"/>
              <w:ind w:left="0"/>
              <w:rPr>
                <w:rFonts w:eastAsiaTheme="minorHAnsi"/>
                <w:lang w:val="en-GB"/>
              </w:rPr>
            </w:pPr>
          </w:p>
        </w:tc>
        <w:tc>
          <w:tcPr>
            <w:tcW w:w="1720" w:type="dxa"/>
          </w:tcPr>
          <w:p w14:paraId="38039E0B" w14:textId="19B48E8B" w:rsidR="00D94A84" w:rsidRDefault="00ED6693" w:rsidP="004B2EF9">
            <w:pPr>
              <w:rPr>
                <w:rFonts w:ascii="Arial" w:hAnsi="Arial" w:cs="Arial"/>
              </w:rPr>
            </w:pPr>
            <w:r>
              <w:rPr>
                <w:rFonts w:ascii="Arial" w:hAnsi="Arial" w:cs="Arial"/>
              </w:rPr>
              <w:t>Ms Denning, CEO</w:t>
            </w:r>
          </w:p>
        </w:tc>
        <w:tc>
          <w:tcPr>
            <w:tcW w:w="1242" w:type="dxa"/>
          </w:tcPr>
          <w:p w14:paraId="7ED67E2E" w14:textId="3ECD38A6" w:rsidR="00D94A84" w:rsidRDefault="00D94A84" w:rsidP="004B2EF9">
            <w:pPr>
              <w:rPr>
                <w:rFonts w:ascii="Arial" w:hAnsi="Arial" w:cs="Arial"/>
              </w:rPr>
            </w:pPr>
            <w:r w:rsidRPr="003C4E83">
              <w:rPr>
                <w:rFonts w:ascii="Arial" w:hAnsi="Arial" w:cs="Arial"/>
              </w:rPr>
              <w:t>As soon as possible</w:t>
            </w:r>
          </w:p>
          <w:p w14:paraId="7DD2CD55" w14:textId="36D74CB0" w:rsidR="00363457" w:rsidRDefault="00363457" w:rsidP="004B2EF9">
            <w:pPr>
              <w:rPr>
                <w:rFonts w:ascii="Arial" w:hAnsi="Arial" w:cs="Arial"/>
              </w:rPr>
            </w:pPr>
          </w:p>
        </w:tc>
      </w:tr>
      <w:tr w:rsidR="00E61975" w:rsidRPr="001F5EE8" w14:paraId="01BA7F37" w14:textId="77777777" w:rsidTr="00E70CEA">
        <w:tc>
          <w:tcPr>
            <w:tcW w:w="1572" w:type="dxa"/>
          </w:tcPr>
          <w:p w14:paraId="207E1D48" w14:textId="7AC93EF3" w:rsidR="00363457" w:rsidRPr="001F0E71" w:rsidRDefault="00363457" w:rsidP="004B2EF9">
            <w:pPr>
              <w:ind w:left="-213" w:firstLine="142"/>
              <w:rPr>
                <w:rFonts w:ascii="Arial" w:hAnsi="Arial" w:cs="Arial"/>
              </w:rPr>
            </w:pPr>
            <w:r w:rsidRPr="001F0E71">
              <w:rPr>
                <w:rFonts w:ascii="Arial" w:hAnsi="Arial" w:cs="Arial"/>
              </w:rPr>
              <w:t xml:space="preserve">CSB </w:t>
            </w:r>
            <w:r w:rsidR="00ED6693" w:rsidRPr="001F0E71">
              <w:rPr>
                <w:rFonts w:ascii="Arial" w:hAnsi="Arial" w:cs="Arial"/>
              </w:rPr>
              <w:t>23</w:t>
            </w:r>
            <w:r w:rsidRPr="001F0E71">
              <w:rPr>
                <w:rFonts w:ascii="Arial" w:hAnsi="Arial" w:cs="Arial"/>
              </w:rPr>
              <w:t>/2024</w:t>
            </w:r>
          </w:p>
        </w:tc>
        <w:tc>
          <w:tcPr>
            <w:tcW w:w="1789" w:type="dxa"/>
          </w:tcPr>
          <w:p w14:paraId="21360BF4" w14:textId="7BE660E5" w:rsidR="00363457" w:rsidRPr="001F0E71" w:rsidRDefault="00ED6693" w:rsidP="004B2EF9">
            <w:pPr>
              <w:rPr>
                <w:rFonts w:ascii="Arial" w:hAnsi="Arial" w:cs="Arial"/>
              </w:rPr>
            </w:pPr>
            <w:r w:rsidRPr="001F0E71">
              <w:rPr>
                <w:rFonts w:ascii="Arial" w:hAnsi="Arial" w:cs="Arial"/>
              </w:rPr>
              <w:t>45/2024</w:t>
            </w:r>
          </w:p>
        </w:tc>
        <w:tc>
          <w:tcPr>
            <w:tcW w:w="1868" w:type="dxa"/>
          </w:tcPr>
          <w:p w14:paraId="5020210F" w14:textId="063C3A96" w:rsidR="00ED6693" w:rsidRPr="001F0E71" w:rsidRDefault="00E61975" w:rsidP="004B2EF9">
            <w:pPr>
              <w:rPr>
                <w:rFonts w:ascii="Arial" w:hAnsi="Arial" w:cs="Arial"/>
              </w:rPr>
            </w:pPr>
            <w:r w:rsidRPr="001F0E71">
              <w:rPr>
                <w:rFonts w:ascii="Arial" w:hAnsi="Arial" w:cs="Arial"/>
              </w:rPr>
              <w:t xml:space="preserve">New Legislation- Discussion regarding </w:t>
            </w:r>
            <w:r w:rsidR="00ED6693" w:rsidRPr="001F0E71">
              <w:rPr>
                <w:rFonts w:ascii="Arial" w:hAnsi="Arial" w:cs="Arial"/>
              </w:rPr>
              <w:t xml:space="preserve">Engagement with Departments on new legislation and </w:t>
            </w:r>
            <w:r w:rsidRPr="001F0E71">
              <w:rPr>
                <w:rFonts w:ascii="Arial" w:hAnsi="Arial" w:cs="Arial"/>
              </w:rPr>
              <w:t xml:space="preserve">use of </w:t>
            </w:r>
            <w:r w:rsidR="00ED6693" w:rsidRPr="001F0E71">
              <w:rPr>
                <w:rFonts w:ascii="Arial" w:hAnsi="Arial" w:cs="Arial"/>
              </w:rPr>
              <w:t xml:space="preserve">Regulatory Impact Assessment (RIA) </w:t>
            </w:r>
          </w:p>
          <w:p w14:paraId="31755D58" w14:textId="7441AAE7" w:rsidR="00363457" w:rsidRPr="001F0E71" w:rsidRDefault="00363457" w:rsidP="004B2EF9">
            <w:pPr>
              <w:rPr>
                <w:rFonts w:ascii="Arial" w:hAnsi="Arial" w:cs="Arial"/>
              </w:rPr>
            </w:pPr>
          </w:p>
        </w:tc>
        <w:tc>
          <w:tcPr>
            <w:tcW w:w="1023" w:type="dxa"/>
          </w:tcPr>
          <w:p w14:paraId="7E8ABA4D" w14:textId="77777777" w:rsidR="00363457" w:rsidRPr="001F0E71" w:rsidRDefault="00363457" w:rsidP="004B2EF9">
            <w:pPr>
              <w:pStyle w:val="TableParagraph"/>
              <w:tabs>
                <w:tab w:val="left" w:pos="851"/>
              </w:tabs>
              <w:spacing w:before="0"/>
              <w:ind w:left="0"/>
              <w:rPr>
                <w:rFonts w:eastAsiaTheme="minorHAnsi"/>
                <w:lang w:val="en-GB"/>
              </w:rPr>
            </w:pPr>
          </w:p>
        </w:tc>
        <w:tc>
          <w:tcPr>
            <w:tcW w:w="1720" w:type="dxa"/>
          </w:tcPr>
          <w:p w14:paraId="2B1A2B2A" w14:textId="16464F90" w:rsidR="00363457" w:rsidRPr="001F0E71" w:rsidRDefault="00363457" w:rsidP="004B2EF9">
            <w:pPr>
              <w:rPr>
                <w:rFonts w:ascii="Arial" w:hAnsi="Arial" w:cs="Arial"/>
              </w:rPr>
            </w:pPr>
          </w:p>
        </w:tc>
        <w:tc>
          <w:tcPr>
            <w:tcW w:w="1242" w:type="dxa"/>
          </w:tcPr>
          <w:p w14:paraId="25F6A23B" w14:textId="6498896E" w:rsidR="00363457" w:rsidRPr="001F0E71" w:rsidRDefault="00ED6693" w:rsidP="004B2EF9">
            <w:pPr>
              <w:rPr>
                <w:rFonts w:ascii="Arial" w:hAnsi="Arial" w:cs="Arial"/>
              </w:rPr>
            </w:pPr>
            <w:r w:rsidRPr="001F0E71">
              <w:rPr>
                <w:rFonts w:ascii="Arial" w:hAnsi="Arial" w:cs="Arial"/>
              </w:rPr>
              <w:t xml:space="preserve">This item is to be placed on the agenda of the September meeting for </w:t>
            </w:r>
            <w:r w:rsidR="00E70CEA" w:rsidRPr="001F0E71">
              <w:rPr>
                <w:rFonts w:ascii="Arial" w:hAnsi="Arial" w:cs="Arial"/>
              </w:rPr>
              <w:t xml:space="preserve">discussion </w:t>
            </w:r>
          </w:p>
        </w:tc>
      </w:tr>
      <w:tr w:rsidR="00E61975" w:rsidRPr="001F5EE8" w14:paraId="3D80C087" w14:textId="77777777" w:rsidTr="00E70CEA">
        <w:tc>
          <w:tcPr>
            <w:tcW w:w="1572" w:type="dxa"/>
          </w:tcPr>
          <w:p w14:paraId="460F32DF" w14:textId="6D68F170" w:rsidR="00363457" w:rsidRDefault="00363457" w:rsidP="004B2EF9">
            <w:pPr>
              <w:ind w:left="-213" w:firstLine="142"/>
              <w:rPr>
                <w:rFonts w:ascii="Arial" w:hAnsi="Arial" w:cs="Arial"/>
              </w:rPr>
            </w:pPr>
            <w:r>
              <w:rPr>
                <w:rFonts w:ascii="Arial" w:hAnsi="Arial" w:cs="Arial"/>
              </w:rPr>
              <w:t xml:space="preserve">CSB </w:t>
            </w:r>
            <w:r w:rsidR="00ED6693">
              <w:rPr>
                <w:rFonts w:ascii="Arial" w:hAnsi="Arial" w:cs="Arial"/>
              </w:rPr>
              <w:t>24</w:t>
            </w:r>
            <w:r>
              <w:rPr>
                <w:rFonts w:ascii="Arial" w:hAnsi="Arial" w:cs="Arial"/>
              </w:rPr>
              <w:t>/2024</w:t>
            </w:r>
          </w:p>
        </w:tc>
        <w:tc>
          <w:tcPr>
            <w:tcW w:w="1789" w:type="dxa"/>
          </w:tcPr>
          <w:p w14:paraId="501F8182" w14:textId="4A8D736A" w:rsidR="00363457" w:rsidRDefault="00ED6693" w:rsidP="004B2EF9">
            <w:pPr>
              <w:rPr>
                <w:rFonts w:ascii="Arial" w:hAnsi="Arial" w:cs="Arial"/>
              </w:rPr>
            </w:pPr>
            <w:r>
              <w:rPr>
                <w:rFonts w:ascii="Arial" w:hAnsi="Arial" w:cs="Arial"/>
              </w:rPr>
              <w:t>46</w:t>
            </w:r>
            <w:r w:rsidR="00363457">
              <w:rPr>
                <w:rFonts w:ascii="Arial" w:hAnsi="Arial" w:cs="Arial"/>
              </w:rPr>
              <w:t>/2024</w:t>
            </w:r>
          </w:p>
        </w:tc>
        <w:tc>
          <w:tcPr>
            <w:tcW w:w="1868" w:type="dxa"/>
          </w:tcPr>
          <w:p w14:paraId="63B832AA" w14:textId="5E5563D1" w:rsidR="00363457" w:rsidRDefault="00ED6693" w:rsidP="004B2EF9">
            <w:pPr>
              <w:rPr>
                <w:rFonts w:ascii="Arial" w:hAnsi="Arial" w:cs="Arial"/>
              </w:rPr>
            </w:pPr>
            <w:r>
              <w:rPr>
                <w:rFonts w:ascii="Arial" w:hAnsi="Arial" w:cs="Arial"/>
              </w:rPr>
              <w:t>Corporate Business Plan Update to be colour coded going forward</w:t>
            </w:r>
          </w:p>
        </w:tc>
        <w:tc>
          <w:tcPr>
            <w:tcW w:w="1023" w:type="dxa"/>
          </w:tcPr>
          <w:p w14:paraId="2C7C86D1" w14:textId="77777777" w:rsidR="00363457" w:rsidRPr="001F5EE8" w:rsidRDefault="00363457" w:rsidP="004B2EF9">
            <w:pPr>
              <w:pStyle w:val="TableParagraph"/>
              <w:tabs>
                <w:tab w:val="left" w:pos="851"/>
              </w:tabs>
              <w:spacing w:before="0"/>
              <w:ind w:left="0"/>
              <w:rPr>
                <w:rFonts w:eastAsiaTheme="minorHAnsi"/>
                <w:lang w:val="en-GB"/>
              </w:rPr>
            </w:pPr>
          </w:p>
        </w:tc>
        <w:tc>
          <w:tcPr>
            <w:tcW w:w="1720" w:type="dxa"/>
          </w:tcPr>
          <w:p w14:paraId="404CB859" w14:textId="3DA3C03C" w:rsidR="00363457" w:rsidRDefault="00363457" w:rsidP="004B2EF9">
            <w:pPr>
              <w:rPr>
                <w:rFonts w:ascii="Arial" w:hAnsi="Arial" w:cs="Arial"/>
              </w:rPr>
            </w:pPr>
            <w:r>
              <w:rPr>
                <w:rFonts w:ascii="Arial" w:hAnsi="Arial" w:cs="Arial"/>
              </w:rPr>
              <w:t>Secretary</w:t>
            </w:r>
          </w:p>
        </w:tc>
        <w:tc>
          <w:tcPr>
            <w:tcW w:w="1242" w:type="dxa"/>
          </w:tcPr>
          <w:p w14:paraId="5A48FF8E" w14:textId="47E7BE96" w:rsidR="00363457" w:rsidRPr="003C4E83" w:rsidRDefault="00ED6693" w:rsidP="004B2EF9">
            <w:pPr>
              <w:rPr>
                <w:rFonts w:ascii="Arial" w:hAnsi="Arial" w:cs="Arial"/>
              </w:rPr>
            </w:pPr>
            <w:r>
              <w:rPr>
                <w:rFonts w:ascii="Arial" w:hAnsi="Arial" w:cs="Arial"/>
              </w:rPr>
              <w:t>November meeting</w:t>
            </w:r>
          </w:p>
        </w:tc>
      </w:tr>
      <w:tr w:rsidR="00E61975" w:rsidRPr="001F5EE8" w14:paraId="6B2BB810" w14:textId="77777777" w:rsidTr="00E70CEA">
        <w:tc>
          <w:tcPr>
            <w:tcW w:w="1572" w:type="dxa"/>
          </w:tcPr>
          <w:p w14:paraId="25AA2411" w14:textId="10874310" w:rsidR="00F83461" w:rsidRDefault="00F83461" w:rsidP="004B2EF9">
            <w:pPr>
              <w:ind w:left="-213" w:firstLine="142"/>
              <w:rPr>
                <w:rFonts w:ascii="Arial" w:hAnsi="Arial" w:cs="Arial"/>
              </w:rPr>
            </w:pPr>
            <w:r>
              <w:rPr>
                <w:rFonts w:ascii="Arial" w:hAnsi="Arial" w:cs="Arial"/>
              </w:rPr>
              <w:t>CSB 2</w:t>
            </w:r>
            <w:r w:rsidR="00ED6693">
              <w:rPr>
                <w:rFonts w:ascii="Arial" w:hAnsi="Arial" w:cs="Arial"/>
              </w:rPr>
              <w:t>5</w:t>
            </w:r>
            <w:r>
              <w:rPr>
                <w:rFonts w:ascii="Arial" w:hAnsi="Arial" w:cs="Arial"/>
              </w:rPr>
              <w:t>/2024</w:t>
            </w:r>
          </w:p>
        </w:tc>
        <w:tc>
          <w:tcPr>
            <w:tcW w:w="1789" w:type="dxa"/>
          </w:tcPr>
          <w:p w14:paraId="0B367287" w14:textId="38E3D3CC" w:rsidR="00F83461" w:rsidRDefault="00ED6693" w:rsidP="004B2EF9">
            <w:pPr>
              <w:rPr>
                <w:rFonts w:ascii="Arial" w:hAnsi="Arial" w:cs="Arial"/>
              </w:rPr>
            </w:pPr>
            <w:r>
              <w:rPr>
                <w:rFonts w:ascii="Arial" w:hAnsi="Arial" w:cs="Arial"/>
              </w:rPr>
              <w:t>39</w:t>
            </w:r>
            <w:r w:rsidR="005F43A9">
              <w:rPr>
                <w:rFonts w:ascii="Arial" w:hAnsi="Arial" w:cs="Arial"/>
              </w:rPr>
              <w:t>/2024</w:t>
            </w:r>
          </w:p>
        </w:tc>
        <w:tc>
          <w:tcPr>
            <w:tcW w:w="1868" w:type="dxa"/>
          </w:tcPr>
          <w:p w14:paraId="42D44A0F" w14:textId="65A5A557" w:rsidR="00F83461" w:rsidRDefault="00ED6693" w:rsidP="004B2EF9">
            <w:pPr>
              <w:rPr>
                <w:rFonts w:ascii="Arial" w:hAnsi="Arial" w:cs="Arial"/>
              </w:rPr>
            </w:pPr>
            <w:r>
              <w:rPr>
                <w:rFonts w:ascii="Arial" w:hAnsi="Arial" w:cs="Arial"/>
              </w:rPr>
              <w:t xml:space="preserve">Modernisation Programme update to be added to the agenda for the September meeting </w:t>
            </w:r>
          </w:p>
        </w:tc>
        <w:tc>
          <w:tcPr>
            <w:tcW w:w="1023" w:type="dxa"/>
          </w:tcPr>
          <w:p w14:paraId="6529F0F2" w14:textId="77777777" w:rsidR="00F83461" w:rsidRPr="001F5EE8" w:rsidRDefault="00F83461" w:rsidP="004B2EF9">
            <w:pPr>
              <w:pStyle w:val="TableParagraph"/>
              <w:tabs>
                <w:tab w:val="left" w:pos="851"/>
              </w:tabs>
              <w:spacing w:before="0"/>
              <w:ind w:left="0"/>
              <w:rPr>
                <w:rFonts w:eastAsiaTheme="minorHAnsi"/>
                <w:lang w:val="en-GB"/>
              </w:rPr>
            </w:pPr>
          </w:p>
        </w:tc>
        <w:tc>
          <w:tcPr>
            <w:tcW w:w="1720" w:type="dxa"/>
          </w:tcPr>
          <w:p w14:paraId="150D6968" w14:textId="7745571D" w:rsidR="00F83461" w:rsidRDefault="00F83461" w:rsidP="004B2EF9">
            <w:pPr>
              <w:rPr>
                <w:rFonts w:ascii="Arial" w:hAnsi="Arial" w:cs="Arial"/>
              </w:rPr>
            </w:pPr>
            <w:r>
              <w:rPr>
                <w:rFonts w:ascii="Arial" w:hAnsi="Arial" w:cs="Arial"/>
              </w:rPr>
              <w:t xml:space="preserve">Secretary </w:t>
            </w:r>
          </w:p>
        </w:tc>
        <w:tc>
          <w:tcPr>
            <w:tcW w:w="1242" w:type="dxa"/>
          </w:tcPr>
          <w:p w14:paraId="3E916710" w14:textId="0FC59A53" w:rsidR="00F83461" w:rsidRDefault="00ED6693" w:rsidP="004B2EF9">
            <w:pPr>
              <w:rPr>
                <w:rFonts w:ascii="Arial" w:hAnsi="Arial" w:cs="Arial"/>
              </w:rPr>
            </w:pPr>
            <w:r>
              <w:rPr>
                <w:rFonts w:ascii="Arial" w:hAnsi="Arial" w:cs="Arial"/>
              </w:rPr>
              <w:t>September meeting</w:t>
            </w:r>
          </w:p>
        </w:tc>
      </w:tr>
      <w:tr w:rsidR="00E61975" w:rsidRPr="001F5EE8" w14:paraId="6842AEE8" w14:textId="77777777" w:rsidTr="00E70CEA">
        <w:tc>
          <w:tcPr>
            <w:tcW w:w="1572" w:type="dxa"/>
          </w:tcPr>
          <w:p w14:paraId="00EA0299" w14:textId="04757035" w:rsidR="00120496" w:rsidRDefault="00120496" w:rsidP="004B2EF9">
            <w:pPr>
              <w:ind w:left="-213" w:firstLine="142"/>
              <w:rPr>
                <w:rFonts w:ascii="Arial" w:hAnsi="Arial" w:cs="Arial"/>
              </w:rPr>
            </w:pPr>
            <w:r>
              <w:rPr>
                <w:rFonts w:ascii="Arial" w:hAnsi="Arial" w:cs="Arial"/>
              </w:rPr>
              <w:t>CSB 2</w:t>
            </w:r>
            <w:r w:rsidR="00ED6693">
              <w:rPr>
                <w:rFonts w:ascii="Arial" w:hAnsi="Arial" w:cs="Arial"/>
              </w:rPr>
              <w:t>6</w:t>
            </w:r>
            <w:r>
              <w:rPr>
                <w:rFonts w:ascii="Arial" w:hAnsi="Arial" w:cs="Arial"/>
              </w:rPr>
              <w:t>/2024</w:t>
            </w:r>
          </w:p>
        </w:tc>
        <w:tc>
          <w:tcPr>
            <w:tcW w:w="1789" w:type="dxa"/>
          </w:tcPr>
          <w:p w14:paraId="2C725F1B" w14:textId="660984DB" w:rsidR="00120496" w:rsidRDefault="00120496" w:rsidP="004B2EF9">
            <w:pPr>
              <w:rPr>
                <w:rFonts w:ascii="Arial" w:hAnsi="Arial" w:cs="Arial"/>
              </w:rPr>
            </w:pPr>
          </w:p>
        </w:tc>
        <w:tc>
          <w:tcPr>
            <w:tcW w:w="1868" w:type="dxa"/>
          </w:tcPr>
          <w:p w14:paraId="54D012A6" w14:textId="0E5424BE" w:rsidR="005A5036" w:rsidRDefault="00ED6693" w:rsidP="004B2EF9">
            <w:pPr>
              <w:rPr>
                <w:rFonts w:ascii="Arial" w:hAnsi="Arial" w:cs="Arial"/>
              </w:rPr>
            </w:pPr>
            <w:r>
              <w:rPr>
                <w:rFonts w:ascii="Arial" w:hAnsi="Arial" w:cs="Arial"/>
              </w:rPr>
              <w:t xml:space="preserve">An options paper is to be prepared and presented in relation to the proposed inclusion of </w:t>
            </w:r>
            <w:proofErr w:type="gramStart"/>
            <w:r>
              <w:rPr>
                <w:rFonts w:ascii="Arial" w:hAnsi="Arial" w:cs="Arial"/>
              </w:rPr>
              <w:t>Child Care</w:t>
            </w:r>
            <w:proofErr w:type="gramEnd"/>
            <w:r>
              <w:rPr>
                <w:rFonts w:ascii="Arial" w:hAnsi="Arial" w:cs="Arial"/>
              </w:rPr>
              <w:t xml:space="preserve"> in the TOR of the FLCDC</w:t>
            </w:r>
          </w:p>
          <w:p w14:paraId="36723570" w14:textId="5496593B" w:rsidR="005A5036" w:rsidRDefault="00ED6693" w:rsidP="004B2EF9">
            <w:pPr>
              <w:rPr>
                <w:rFonts w:ascii="Arial" w:hAnsi="Arial" w:cs="Arial"/>
              </w:rPr>
            </w:pPr>
            <w:r>
              <w:rPr>
                <w:rFonts w:ascii="Arial" w:hAnsi="Arial" w:cs="Arial"/>
              </w:rPr>
              <w:t xml:space="preserve">Ms Denning will nominate someone to assist with the </w:t>
            </w:r>
            <w:r>
              <w:rPr>
                <w:rFonts w:ascii="Arial" w:hAnsi="Arial" w:cs="Arial"/>
              </w:rPr>
              <w:lastRenderedPageBreak/>
              <w:t xml:space="preserve">preparation of </w:t>
            </w:r>
            <w:r w:rsidR="000245B5">
              <w:rPr>
                <w:rFonts w:ascii="Arial" w:hAnsi="Arial" w:cs="Arial"/>
              </w:rPr>
              <w:t>this.</w:t>
            </w:r>
          </w:p>
          <w:p w14:paraId="3AB75924" w14:textId="7A1A66D5" w:rsidR="005A5036" w:rsidRDefault="005A5036" w:rsidP="004B2EF9">
            <w:pPr>
              <w:rPr>
                <w:rFonts w:ascii="Arial" w:hAnsi="Arial" w:cs="Arial"/>
              </w:rPr>
            </w:pPr>
          </w:p>
        </w:tc>
        <w:tc>
          <w:tcPr>
            <w:tcW w:w="1023" w:type="dxa"/>
          </w:tcPr>
          <w:p w14:paraId="26E38040" w14:textId="77777777" w:rsidR="00120496" w:rsidRPr="001F5EE8" w:rsidRDefault="00120496" w:rsidP="004B2EF9">
            <w:pPr>
              <w:pStyle w:val="TableParagraph"/>
              <w:tabs>
                <w:tab w:val="left" w:pos="851"/>
              </w:tabs>
              <w:spacing w:before="0"/>
              <w:ind w:left="0"/>
              <w:rPr>
                <w:rFonts w:eastAsiaTheme="minorHAnsi"/>
                <w:lang w:val="en-GB"/>
              </w:rPr>
            </w:pPr>
          </w:p>
        </w:tc>
        <w:tc>
          <w:tcPr>
            <w:tcW w:w="1720" w:type="dxa"/>
          </w:tcPr>
          <w:p w14:paraId="00BBE208" w14:textId="1C65EB5A" w:rsidR="00120496" w:rsidRDefault="00ED6693" w:rsidP="004B2EF9">
            <w:pPr>
              <w:rPr>
                <w:rFonts w:ascii="Arial" w:hAnsi="Arial" w:cs="Arial"/>
              </w:rPr>
            </w:pPr>
            <w:r>
              <w:rPr>
                <w:rFonts w:ascii="Arial" w:hAnsi="Arial" w:cs="Arial"/>
              </w:rPr>
              <w:t xml:space="preserve">Ms Denning </w:t>
            </w:r>
          </w:p>
        </w:tc>
        <w:tc>
          <w:tcPr>
            <w:tcW w:w="1242" w:type="dxa"/>
          </w:tcPr>
          <w:p w14:paraId="42DB0B06" w14:textId="2BF927FB" w:rsidR="00120496" w:rsidRDefault="00ED6693" w:rsidP="004B2EF9">
            <w:pPr>
              <w:rPr>
                <w:rFonts w:ascii="Arial" w:hAnsi="Arial" w:cs="Arial"/>
              </w:rPr>
            </w:pPr>
            <w:r>
              <w:rPr>
                <w:rFonts w:ascii="Arial" w:hAnsi="Arial" w:cs="Arial"/>
              </w:rPr>
              <w:t>September meeting</w:t>
            </w:r>
          </w:p>
        </w:tc>
      </w:tr>
      <w:tr w:rsidR="00E61975" w:rsidRPr="001F5EE8" w14:paraId="385B26F4" w14:textId="77777777" w:rsidTr="00E70CEA">
        <w:tc>
          <w:tcPr>
            <w:tcW w:w="1572" w:type="dxa"/>
          </w:tcPr>
          <w:p w14:paraId="60C7BE4F" w14:textId="5C90F79C" w:rsidR="004B2EF9" w:rsidRDefault="004B2EF9" w:rsidP="004B2EF9">
            <w:pPr>
              <w:ind w:left="-213" w:firstLine="142"/>
              <w:rPr>
                <w:rFonts w:ascii="Arial" w:hAnsi="Arial" w:cs="Arial"/>
              </w:rPr>
            </w:pPr>
            <w:r>
              <w:rPr>
                <w:rFonts w:ascii="Arial" w:hAnsi="Arial" w:cs="Arial"/>
              </w:rPr>
              <w:t>CSB 27/2024</w:t>
            </w:r>
          </w:p>
        </w:tc>
        <w:tc>
          <w:tcPr>
            <w:tcW w:w="1789" w:type="dxa"/>
          </w:tcPr>
          <w:p w14:paraId="69DCD003" w14:textId="5F341F3D" w:rsidR="004B2EF9" w:rsidRDefault="004B2EF9" w:rsidP="004B2EF9">
            <w:pPr>
              <w:rPr>
                <w:rFonts w:ascii="Arial" w:hAnsi="Arial" w:cs="Arial"/>
              </w:rPr>
            </w:pPr>
            <w:r>
              <w:rPr>
                <w:rFonts w:ascii="Arial" w:hAnsi="Arial" w:cs="Arial"/>
              </w:rPr>
              <w:t>N/A-Private Session</w:t>
            </w:r>
          </w:p>
        </w:tc>
        <w:tc>
          <w:tcPr>
            <w:tcW w:w="1868" w:type="dxa"/>
          </w:tcPr>
          <w:p w14:paraId="6D9F5347" w14:textId="18CCE7D5" w:rsidR="004B2EF9" w:rsidRDefault="004B2EF9" w:rsidP="004B2EF9">
            <w:pPr>
              <w:rPr>
                <w:rFonts w:ascii="Arial" w:hAnsi="Arial" w:cs="Arial"/>
              </w:rPr>
            </w:pPr>
            <w:r>
              <w:rPr>
                <w:rFonts w:ascii="Arial" w:hAnsi="Arial" w:cs="Arial"/>
              </w:rPr>
              <w:t xml:space="preserve">The CEO evaluation to be put on the agenda of the first Board meeting of the year so the evaluation process could be formalised Any suggestions about how this process may be conducted should be sent to the Chair in advance of that meeting. </w:t>
            </w:r>
          </w:p>
          <w:p w14:paraId="5724F1D5" w14:textId="77777777" w:rsidR="004B2EF9" w:rsidRDefault="004B2EF9" w:rsidP="004B2EF9">
            <w:pPr>
              <w:rPr>
                <w:rFonts w:ascii="Arial" w:hAnsi="Arial" w:cs="Arial"/>
              </w:rPr>
            </w:pPr>
          </w:p>
        </w:tc>
        <w:tc>
          <w:tcPr>
            <w:tcW w:w="1023" w:type="dxa"/>
          </w:tcPr>
          <w:p w14:paraId="3F5E640D" w14:textId="77777777" w:rsidR="004B2EF9" w:rsidRPr="001F5EE8" w:rsidRDefault="004B2EF9" w:rsidP="004B2EF9">
            <w:pPr>
              <w:pStyle w:val="TableParagraph"/>
              <w:tabs>
                <w:tab w:val="left" w:pos="851"/>
              </w:tabs>
              <w:spacing w:before="0"/>
              <w:ind w:left="0"/>
              <w:rPr>
                <w:rFonts w:eastAsiaTheme="minorHAnsi"/>
                <w:lang w:val="en-GB"/>
              </w:rPr>
            </w:pPr>
          </w:p>
        </w:tc>
        <w:tc>
          <w:tcPr>
            <w:tcW w:w="1720" w:type="dxa"/>
          </w:tcPr>
          <w:p w14:paraId="2331213D" w14:textId="44474E15" w:rsidR="004B2EF9" w:rsidRDefault="004B2EF9" w:rsidP="004B2EF9">
            <w:pPr>
              <w:rPr>
                <w:rFonts w:ascii="Arial" w:hAnsi="Arial" w:cs="Arial"/>
              </w:rPr>
            </w:pPr>
            <w:r>
              <w:rPr>
                <w:rFonts w:ascii="Arial" w:hAnsi="Arial" w:cs="Arial"/>
              </w:rPr>
              <w:t>Secretary</w:t>
            </w:r>
          </w:p>
        </w:tc>
        <w:tc>
          <w:tcPr>
            <w:tcW w:w="1242" w:type="dxa"/>
          </w:tcPr>
          <w:p w14:paraId="2ED4E4D2" w14:textId="11C7889A" w:rsidR="004B2EF9" w:rsidRDefault="004B2EF9" w:rsidP="004B2EF9">
            <w:pPr>
              <w:rPr>
                <w:rFonts w:ascii="Arial" w:hAnsi="Arial" w:cs="Arial"/>
              </w:rPr>
            </w:pPr>
            <w:r>
              <w:rPr>
                <w:rFonts w:ascii="Arial" w:hAnsi="Arial" w:cs="Arial"/>
              </w:rPr>
              <w:t>January meeting</w:t>
            </w:r>
          </w:p>
        </w:tc>
      </w:tr>
      <w:tr w:rsidR="001F0E71" w:rsidRPr="001F5EE8" w14:paraId="53F5B06E" w14:textId="77777777" w:rsidTr="00E70CEA">
        <w:tc>
          <w:tcPr>
            <w:tcW w:w="1572" w:type="dxa"/>
          </w:tcPr>
          <w:p w14:paraId="3EC57DCF" w14:textId="26D2A5C3" w:rsidR="001F0E71" w:rsidRDefault="001F0E71" w:rsidP="004B2EF9">
            <w:pPr>
              <w:ind w:left="-213" w:firstLine="142"/>
              <w:rPr>
                <w:rFonts w:ascii="Arial" w:hAnsi="Arial" w:cs="Arial"/>
              </w:rPr>
            </w:pPr>
            <w:r>
              <w:rPr>
                <w:rFonts w:ascii="Arial" w:hAnsi="Arial" w:cs="Arial"/>
              </w:rPr>
              <w:t>CSB 28/2024</w:t>
            </w:r>
          </w:p>
        </w:tc>
        <w:tc>
          <w:tcPr>
            <w:tcW w:w="1789" w:type="dxa"/>
          </w:tcPr>
          <w:p w14:paraId="397833E2" w14:textId="272C7BFF" w:rsidR="001F0E71" w:rsidRDefault="001F0E71" w:rsidP="004B2EF9">
            <w:pPr>
              <w:rPr>
                <w:rFonts w:ascii="Arial" w:hAnsi="Arial" w:cs="Arial"/>
              </w:rPr>
            </w:pPr>
            <w:r>
              <w:rPr>
                <w:rFonts w:ascii="Arial" w:hAnsi="Arial" w:cs="Arial"/>
              </w:rPr>
              <w:t>Strategic Plan</w:t>
            </w:r>
          </w:p>
        </w:tc>
        <w:tc>
          <w:tcPr>
            <w:tcW w:w="1868" w:type="dxa"/>
          </w:tcPr>
          <w:p w14:paraId="536B3C18" w14:textId="4DAAD9DD" w:rsidR="001F0E71" w:rsidRDefault="001F0E71" w:rsidP="004B2EF9">
            <w:pPr>
              <w:rPr>
                <w:rFonts w:ascii="Arial" w:hAnsi="Arial" w:cs="Arial"/>
              </w:rPr>
            </w:pPr>
            <w:r>
              <w:rPr>
                <w:rFonts w:ascii="Arial" w:hAnsi="Arial" w:cs="Arial"/>
              </w:rPr>
              <w:t xml:space="preserve">The amended Strategic Plan is to be circulated to the Board </w:t>
            </w:r>
          </w:p>
        </w:tc>
        <w:tc>
          <w:tcPr>
            <w:tcW w:w="1023" w:type="dxa"/>
          </w:tcPr>
          <w:p w14:paraId="53ED3A23" w14:textId="77777777" w:rsidR="001F0E71" w:rsidRPr="001F5EE8" w:rsidRDefault="001F0E71" w:rsidP="004B2EF9">
            <w:pPr>
              <w:pStyle w:val="TableParagraph"/>
              <w:tabs>
                <w:tab w:val="left" w:pos="851"/>
              </w:tabs>
              <w:spacing w:before="0"/>
              <w:ind w:left="0"/>
              <w:rPr>
                <w:rFonts w:eastAsiaTheme="minorHAnsi"/>
                <w:lang w:val="en-GB"/>
              </w:rPr>
            </w:pPr>
          </w:p>
        </w:tc>
        <w:tc>
          <w:tcPr>
            <w:tcW w:w="1720" w:type="dxa"/>
          </w:tcPr>
          <w:p w14:paraId="4EDC2D40" w14:textId="42CC519B" w:rsidR="001F0E71" w:rsidRDefault="001F0E71" w:rsidP="004B2EF9">
            <w:pPr>
              <w:rPr>
                <w:rFonts w:ascii="Arial" w:hAnsi="Arial" w:cs="Arial"/>
              </w:rPr>
            </w:pPr>
            <w:r>
              <w:rPr>
                <w:rFonts w:ascii="Arial" w:hAnsi="Arial" w:cs="Arial"/>
              </w:rPr>
              <w:t>Secretary</w:t>
            </w:r>
          </w:p>
        </w:tc>
        <w:tc>
          <w:tcPr>
            <w:tcW w:w="1242" w:type="dxa"/>
          </w:tcPr>
          <w:p w14:paraId="6FC0D699" w14:textId="77777777" w:rsidR="001F0E71" w:rsidRDefault="001F0E71" w:rsidP="004B2EF9">
            <w:pPr>
              <w:rPr>
                <w:rFonts w:ascii="Arial" w:hAnsi="Arial" w:cs="Arial"/>
              </w:rPr>
            </w:pPr>
          </w:p>
        </w:tc>
      </w:tr>
      <w:tr w:rsidR="00D94A84" w:rsidRPr="001F5EE8" w14:paraId="39CE50C4" w14:textId="77777777" w:rsidTr="00E70CEA">
        <w:tc>
          <w:tcPr>
            <w:tcW w:w="9214" w:type="dxa"/>
            <w:gridSpan w:val="6"/>
          </w:tcPr>
          <w:p w14:paraId="5035C4DE" w14:textId="77777777" w:rsidR="00D94A84" w:rsidRPr="001F5EE8" w:rsidRDefault="00D94A84" w:rsidP="00D94A84">
            <w:pPr>
              <w:rPr>
                <w:rFonts w:ascii="Arial" w:hAnsi="Arial" w:cs="Arial"/>
                <w:b/>
                <w:bCs/>
              </w:rPr>
            </w:pPr>
            <w:r w:rsidRPr="001F5EE8">
              <w:rPr>
                <w:rFonts w:ascii="Arial" w:hAnsi="Arial" w:cs="Arial"/>
                <w:b/>
                <w:bCs/>
              </w:rPr>
              <w:t>Meeting Decisions</w:t>
            </w:r>
          </w:p>
        </w:tc>
      </w:tr>
      <w:tr w:rsidR="00E70CEA" w:rsidRPr="001F5EE8" w14:paraId="5C1262E7" w14:textId="77777777" w:rsidTr="00E70CEA">
        <w:trPr>
          <w:trHeight w:val="771"/>
        </w:trPr>
        <w:tc>
          <w:tcPr>
            <w:tcW w:w="1572" w:type="dxa"/>
          </w:tcPr>
          <w:p w14:paraId="3AED6CAF" w14:textId="77777777" w:rsidR="00902051" w:rsidRPr="001F0E71" w:rsidRDefault="00D94A84" w:rsidP="00D94A84">
            <w:pPr>
              <w:rPr>
                <w:rFonts w:ascii="Arial" w:hAnsi="Arial" w:cs="Arial"/>
              </w:rPr>
            </w:pPr>
            <w:r w:rsidRPr="001F0E71">
              <w:rPr>
                <w:rFonts w:ascii="Arial" w:hAnsi="Arial" w:cs="Arial"/>
              </w:rPr>
              <w:t xml:space="preserve">CSB </w:t>
            </w:r>
          </w:p>
          <w:p w14:paraId="02A29844" w14:textId="32915D95" w:rsidR="00D94A84" w:rsidRPr="001F0E71" w:rsidRDefault="00D94A84" w:rsidP="00D94A84">
            <w:pPr>
              <w:rPr>
                <w:rFonts w:ascii="Arial" w:hAnsi="Arial" w:cs="Arial"/>
              </w:rPr>
            </w:pPr>
            <w:r w:rsidRPr="001F0E71">
              <w:rPr>
                <w:rFonts w:ascii="Arial" w:hAnsi="Arial" w:cs="Arial"/>
              </w:rPr>
              <w:t>D</w:t>
            </w:r>
            <w:r w:rsidR="00902051" w:rsidRPr="001F0E71">
              <w:rPr>
                <w:rFonts w:ascii="Arial" w:hAnsi="Arial" w:cs="Arial"/>
              </w:rPr>
              <w:t>0</w:t>
            </w:r>
            <w:r w:rsidR="001D0795" w:rsidRPr="001F0E71">
              <w:rPr>
                <w:rFonts w:ascii="Arial" w:hAnsi="Arial" w:cs="Arial"/>
              </w:rPr>
              <w:t>8</w:t>
            </w:r>
            <w:r w:rsidRPr="001F0E71">
              <w:rPr>
                <w:rFonts w:ascii="Arial" w:hAnsi="Arial" w:cs="Arial"/>
              </w:rPr>
              <w:t>/2024</w:t>
            </w:r>
          </w:p>
        </w:tc>
        <w:tc>
          <w:tcPr>
            <w:tcW w:w="7642" w:type="dxa"/>
            <w:gridSpan w:val="5"/>
          </w:tcPr>
          <w:p w14:paraId="32B81BE1" w14:textId="17A70F1D" w:rsidR="00D94A84" w:rsidRPr="001F0E71" w:rsidRDefault="00E667E7" w:rsidP="00D94A84">
            <w:pPr>
              <w:rPr>
                <w:rFonts w:ascii="Arial" w:hAnsi="Arial" w:cs="Arial"/>
              </w:rPr>
            </w:pPr>
            <w:r w:rsidRPr="001F0E71">
              <w:rPr>
                <w:rFonts w:ascii="Arial" w:hAnsi="Arial" w:cs="Arial"/>
              </w:rPr>
              <w:t>The</w:t>
            </w:r>
            <w:r w:rsidR="001D0795" w:rsidRPr="001F0E71">
              <w:rPr>
                <w:rFonts w:ascii="Arial" w:hAnsi="Arial" w:cs="Arial"/>
              </w:rPr>
              <w:t xml:space="preserve"> Strategic Plan 2024 (with Minister’s amendments) </w:t>
            </w:r>
            <w:r w:rsidRPr="001F0E71">
              <w:rPr>
                <w:rFonts w:ascii="Arial" w:hAnsi="Arial" w:cs="Arial"/>
              </w:rPr>
              <w:t>was approved</w:t>
            </w:r>
          </w:p>
        </w:tc>
      </w:tr>
    </w:tbl>
    <w:p w14:paraId="4869126E" w14:textId="77777777" w:rsidR="000D4FE5" w:rsidRPr="001F5EE8" w:rsidRDefault="000D4FE5" w:rsidP="000D4FE5">
      <w:pPr>
        <w:jc w:val="center"/>
        <w:rPr>
          <w:rFonts w:ascii="Arial" w:hAnsi="Arial" w:cs="Arial"/>
          <w:b/>
          <w:bCs/>
        </w:rPr>
      </w:pPr>
    </w:p>
    <w:p w14:paraId="49BD39A4" w14:textId="77777777" w:rsidR="000D4FE5" w:rsidRDefault="000D4FE5" w:rsidP="000D4FE5">
      <w:pPr>
        <w:pStyle w:val="BodyText"/>
        <w:spacing w:after="120" w:line="360" w:lineRule="auto"/>
        <w:ind w:left="567"/>
        <w:rPr>
          <w:b/>
          <w:bCs/>
          <w:sz w:val="22"/>
          <w:szCs w:val="22"/>
        </w:rPr>
      </w:pPr>
    </w:p>
    <w:p w14:paraId="7EDFAAC0" w14:textId="77777777" w:rsidR="0073693C" w:rsidRPr="001F5EE8" w:rsidRDefault="0073693C" w:rsidP="00246C45">
      <w:pPr>
        <w:pStyle w:val="BodyText"/>
        <w:spacing w:after="120" w:line="360" w:lineRule="auto"/>
        <w:rPr>
          <w:b/>
          <w:bCs/>
          <w:sz w:val="22"/>
          <w:szCs w:val="22"/>
        </w:rPr>
      </w:pPr>
    </w:p>
    <w:p w14:paraId="0E905E09" w14:textId="192C165C" w:rsidR="00B12E93" w:rsidRPr="004B2EF9" w:rsidRDefault="004F11EC" w:rsidP="00206426">
      <w:pPr>
        <w:pStyle w:val="ListParagraph"/>
        <w:numPr>
          <w:ilvl w:val="0"/>
          <w:numId w:val="1"/>
        </w:numPr>
        <w:spacing w:after="120" w:line="360" w:lineRule="auto"/>
        <w:ind w:left="426"/>
        <w:rPr>
          <w:rFonts w:ascii="Arial" w:hAnsi="Arial" w:cs="Arial"/>
          <w:b/>
          <w:bCs/>
        </w:rPr>
      </w:pPr>
      <w:r w:rsidRPr="001F5EE8">
        <w:rPr>
          <w:rFonts w:ascii="Arial" w:hAnsi="Arial" w:cs="Arial"/>
          <w:b/>
          <w:bCs/>
        </w:rPr>
        <w:t xml:space="preserve">Matters arising </w:t>
      </w:r>
    </w:p>
    <w:p w14:paraId="06D7550A" w14:textId="4B62828A" w:rsidR="00E21CAF" w:rsidRDefault="004B2EF9" w:rsidP="0045342D">
      <w:pPr>
        <w:spacing w:after="120" w:line="360" w:lineRule="auto"/>
        <w:rPr>
          <w:rFonts w:ascii="Arial" w:hAnsi="Arial" w:cs="Arial"/>
        </w:rPr>
      </w:pPr>
      <w:r w:rsidRPr="004B2EF9">
        <w:rPr>
          <w:rFonts w:ascii="Arial" w:hAnsi="Arial" w:cs="Arial"/>
        </w:rPr>
        <w:t xml:space="preserve">No matters arising. </w:t>
      </w:r>
    </w:p>
    <w:p w14:paraId="5719FF61" w14:textId="77777777" w:rsidR="00206426" w:rsidRPr="004B2EF9" w:rsidRDefault="00206426" w:rsidP="0045342D">
      <w:pPr>
        <w:spacing w:after="120" w:line="360" w:lineRule="auto"/>
        <w:rPr>
          <w:rFonts w:ascii="Arial" w:hAnsi="Arial" w:cs="Arial"/>
        </w:rPr>
      </w:pPr>
    </w:p>
    <w:p w14:paraId="76BEEFD4" w14:textId="183EF2FF" w:rsidR="004F11EC" w:rsidRPr="0073693C" w:rsidRDefault="004F11EC" w:rsidP="00A91D05">
      <w:pPr>
        <w:spacing w:after="120" w:line="360" w:lineRule="auto"/>
        <w:rPr>
          <w:rFonts w:ascii="Arial" w:hAnsi="Arial" w:cs="Arial"/>
          <w:b/>
          <w:bCs/>
        </w:rPr>
      </w:pPr>
      <w:r w:rsidRPr="001F5EE8">
        <w:rPr>
          <w:rFonts w:ascii="Arial" w:hAnsi="Arial" w:cs="Arial"/>
          <w:b/>
          <w:bCs/>
        </w:rPr>
        <w:t xml:space="preserve">3. </w:t>
      </w:r>
      <w:r w:rsidRPr="001F5EE8">
        <w:rPr>
          <w:rFonts w:ascii="Arial" w:hAnsi="Arial" w:cs="Arial"/>
          <w:b/>
          <w:bCs/>
        </w:rPr>
        <w:tab/>
      </w:r>
      <w:r w:rsidR="00B12E93">
        <w:rPr>
          <w:rFonts w:ascii="Arial" w:hAnsi="Arial" w:cs="Arial"/>
          <w:b/>
          <w:bCs/>
        </w:rPr>
        <w:t>CEO Report Q2 2024</w:t>
      </w:r>
      <w:r w:rsidR="00A91D05" w:rsidRPr="00D63913">
        <w:rPr>
          <w:rFonts w:ascii="Arial" w:hAnsi="Arial" w:cs="Arial"/>
          <w:b/>
          <w:bCs/>
        </w:rPr>
        <w:t xml:space="preserve"> (report CSB </w:t>
      </w:r>
      <w:r w:rsidR="00B12E93">
        <w:rPr>
          <w:rFonts w:ascii="Arial" w:hAnsi="Arial" w:cs="Arial"/>
          <w:b/>
          <w:bCs/>
        </w:rPr>
        <w:t>45</w:t>
      </w:r>
      <w:r w:rsidR="00A91D05" w:rsidRPr="00D63913">
        <w:rPr>
          <w:rFonts w:ascii="Arial" w:hAnsi="Arial" w:cs="Arial"/>
          <w:b/>
          <w:bCs/>
        </w:rPr>
        <w:t>/2024)</w:t>
      </w:r>
    </w:p>
    <w:p w14:paraId="0430FA17" w14:textId="77777777" w:rsidR="00ED6693" w:rsidRDefault="00D63913" w:rsidP="00B41E16">
      <w:pPr>
        <w:spacing w:line="360" w:lineRule="auto"/>
        <w:jc w:val="both"/>
        <w:rPr>
          <w:rFonts w:ascii="Arial" w:hAnsi="Arial" w:cs="Arial"/>
        </w:rPr>
      </w:pPr>
      <w:r w:rsidRPr="00C66F43">
        <w:rPr>
          <w:rFonts w:ascii="Arial" w:hAnsi="Arial" w:cs="Arial"/>
        </w:rPr>
        <w:t xml:space="preserve">Ms. </w:t>
      </w:r>
      <w:r w:rsidR="00B12E93">
        <w:rPr>
          <w:rFonts w:ascii="Arial" w:hAnsi="Arial" w:cs="Arial"/>
        </w:rPr>
        <w:t>Angela Denning</w:t>
      </w:r>
      <w:r w:rsidR="00727290" w:rsidRPr="00C66F43">
        <w:rPr>
          <w:rFonts w:ascii="Arial" w:hAnsi="Arial" w:cs="Arial"/>
        </w:rPr>
        <w:t>,</w:t>
      </w:r>
      <w:r w:rsidR="00B12E93">
        <w:rPr>
          <w:rFonts w:ascii="Arial" w:hAnsi="Arial" w:cs="Arial"/>
        </w:rPr>
        <w:t xml:space="preserve"> CEO</w:t>
      </w:r>
      <w:r w:rsidR="00727290" w:rsidRPr="00C66F43">
        <w:rPr>
          <w:rFonts w:ascii="Arial" w:hAnsi="Arial" w:cs="Arial"/>
        </w:rPr>
        <w:t xml:space="preserve"> presented the </w:t>
      </w:r>
      <w:r w:rsidR="001C36C1" w:rsidRPr="00C66F43">
        <w:rPr>
          <w:rFonts w:ascii="Arial" w:hAnsi="Arial" w:cs="Arial"/>
        </w:rPr>
        <w:t xml:space="preserve">report </w:t>
      </w:r>
      <w:r w:rsidR="00727290" w:rsidRPr="00C66F43">
        <w:rPr>
          <w:rFonts w:ascii="Arial" w:hAnsi="Arial" w:cs="Arial"/>
        </w:rPr>
        <w:t>as circulated</w:t>
      </w:r>
      <w:r w:rsidR="00234273">
        <w:rPr>
          <w:rFonts w:ascii="Arial" w:hAnsi="Arial" w:cs="Arial"/>
        </w:rPr>
        <w:t>, highlighting the progress made in relation to the Judicial Planning Working Group Implementation. Ms Denning outlined that in</w:t>
      </w:r>
      <w:r w:rsidR="00234273" w:rsidRPr="00BF08FB">
        <w:rPr>
          <w:rFonts w:ascii="Arial" w:hAnsi="Arial" w:cs="Arial"/>
        </w:rPr>
        <w:t xml:space="preserve"> May 2024 the Minister for Justice announced her intention to bring a memo to Government to seek the appointment of the second tranche of 20 judges recommended in the report. The Courts Service have provided the following supporting material demonstrating the impact of the first tranche of appointments to the Department of Justice. The analysis of JPWG data</w:t>
      </w:r>
      <w:r w:rsidR="00234273">
        <w:rPr>
          <w:rFonts w:ascii="Arial" w:hAnsi="Arial" w:cs="Arial"/>
        </w:rPr>
        <w:t>, provided to the Minister by the Courts Service with narratives supplied by the Presidents of each jurisdiction,</w:t>
      </w:r>
      <w:r w:rsidR="00234273" w:rsidRPr="00BF08FB">
        <w:rPr>
          <w:rFonts w:ascii="Arial" w:hAnsi="Arial" w:cs="Arial"/>
        </w:rPr>
        <w:t xml:space="preserve"> reveals the initial positive impacts arising from the addition of judges across jurisdictions</w:t>
      </w:r>
      <w:r w:rsidR="00E10890">
        <w:rPr>
          <w:rFonts w:ascii="Arial" w:hAnsi="Arial" w:cs="Arial"/>
        </w:rPr>
        <w:t xml:space="preserve"> and workstreams (Crime, Civil</w:t>
      </w:r>
    </w:p>
    <w:p w14:paraId="4E10AC48" w14:textId="77777777" w:rsidR="00531009" w:rsidRDefault="00E10890" w:rsidP="00B41E16">
      <w:pPr>
        <w:spacing w:line="360" w:lineRule="auto"/>
        <w:jc w:val="both"/>
        <w:rPr>
          <w:rFonts w:ascii="Arial" w:hAnsi="Arial" w:cs="Arial"/>
        </w:rPr>
      </w:pPr>
      <w:r>
        <w:rPr>
          <w:rFonts w:ascii="Arial" w:hAnsi="Arial" w:cs="Arial"/>
        </w:rPr>
        <w:t xml:space="preserve"> and Family)</w:t>
      </w:r>
      <w:r w:rsidR="00234273" w:rsidRPr="00BF08FB">
        <w:rPr>
          <w:rFonts w:ascii="Arial" w:hAnsi="Arial" w:cs="Arial"/>
        </w:rPr>
        <w:t>.</w:t>
      </w:r>
      <w:r w:rsidR="00234273">
        <w:rPr>
          <w:rFonts w:ascii="Arial" w:hAnsi="Arial" w:cs="Arial"/>
        </w:rPr>
        <w:t xml:space="preserve"> There has been a significant reduction in waiting times across</w:t>
      </w:r>
      <w:r w:rsidR="00463F0F">
        <w:rPr>
          <w:rFonts w:ascii="Arial" w:hAnsi="Arial" w:cs="Arial"/>
        </w:rPr>
        <w:t xml:space="preserve"> all areas, despite the number of cases increasing in areas such as Crime. </w:t>
      </w:r>
      <w:r w:rsidR="00234273">
        <w:rPr>
          <w:rFonts w:ascii="Arial" w:hAnsi="Arial" w:cs="Arial"/>
        </w:rPr>
        <w:t xml:space="preserve">Ms Denning outlined that a memorandum for government </w:t>
      </w:r>
      <w:proofErr w:type="gramStart"/>
      <w:r w:rsidR="00234273">
        <w:rPr>
          <w:rFonts w:ascii="Arial" w:hAnsi="Arial" w:cs="Arial"/>
        </w:rPr>
        <w:t>i</w:t>
      </w:r>
      <w:r w:rsidR="00C5453A">
        <w:rPr>
          <w:rFonts w:ascii="Arial" w:hAnsi="Arial" w:cs="Arial"/>
        </w:rPr>
        <w:t>s</w:t>
      </w:r>
      <w:proofErr w:type="gramEnd"/>
      <w:r w:rsidR="00234273">
        <w:rPr>
          <w:rFonts w:ascii="Arial" w:hAnsi="Arial" w:cs="Arial"/>
        </w:rPr>
        <w:t xml:space="preserve"> </w:t>
      </w:r>
    </w:p>
    <w:p w14:paraId="62EE825D" w14:textId="77777777" w:rsidR="00531009" w:rsidRDefault="00531009" w:rsidP="00E10890">
      <w:pPr>
        <w:spacing w:line="360" w:lineRule="auto"/>
        <w:rPr>
          <w:rFonts w:ascii="Arial" w:hAnsi="Arial" w:cs="Arial"/>
        </w:rPr>
      </w:pPr>
    </w:p>
    <w:p w14:paraId="2026255D" w14:textId="263BE5E0" w:rsidR="00E10890" w:rsidRPr="00ED6693" w:rsidRDefault="00234273" w:rsidP="00B41E16">
      <w:pPr>
        <w:spacing w:line="360" w:lineRule="auto"/>
        <w:jc w:val="both"/>
        <w:rPr>
          <w:rFonts w:ascii="Arial" w:hAnsi="Arial" w:cs="Arial"/>
        </w:rPr>
      </w:pPr>
      <w:r>
        <w:rPr>
          <w:rFonts w:ascii="Arial" w:hAnsi="Arial" w:cs="Arial"/>
        </w:rPr>
        <w:t xml:space="preserve">required </w:t>
      </w:r>
      <w:proofErr w:type="gramStart"/>
      <w:r>
        <w:rPr>
          <w:rFonts w:ascii="Arial" w:hAnsi="Arial" w:cs="Arial"/>
        </w:rPr>
        <w:t>in order to</w:t>
      </w:r>
      <w:proofErr w:type="gramEnd"/>
      <w:r>
        <w:rPr>
          <w:rFonts w:ascii="Arial" w:hAnsi="Arial" w:cs="Arial"/>
        </w:rPr>
        <w:t xml:space="preserve"> progress the appoint</w:t>
      </w:r>
      <w:r w:rsidR="00C5453A">
        <w:rPr>
          <w:rFonts w:ascii="Arial" w:hAnsi="Arial" w:cs="Arial"/>
        </w:rPr>
        <w:t>ment</w:t>
      </w:r>
      <w:r>
        <w:rPr>
          <w:rFonts w:ascii="Arial" w:hAnsi="Arial" w:cs="Arial"/>
        </w:rPr>
        <w:t xml:space="preserve"> of the second tranche. The Courts Service have provided information as requested. </w:t>
      </w:r>
      <w:r w:rsidR="00C5453A">
        <w:rPr>
          <w:rFonts w:ascii="Arial" w:hAnsi="Arial" w:cs="Arial"/>
        </w:rPr>
        <w:t xml:space="preserve">The impact of the implementation of the Judicial Planning Working Group implementation is also highlighted in the Estimates paper, at Item </w:t>
      </w:r>
      <w:r w:rsidR="00ED6693">
        <w:rPr>
          <w:rFonts w:ascii="Arial" w:hAnsi="Arial" w:cs="Arial"/>
        </w:rPr>
        <w:t>8</w:t>
      </w:r>
      <w:r w:rsidR="00C5453A">
        <w:rPr>
          <w:rFonts w:ascii="Arial" w:hAnsi="Arial" w:cs="Arial"/>
        </w:rPr>
        <w:t xml:space="preserve"> of the agenda. </w:t>
      </w:r>
    </w:p>
    <w:p w14:paraId="0C14317E" w14:textId="660A533B" w:rsidR="00C5453A" w:rsidRDefault="00E10890" w:rsidP="00B41E16">
      <w:pPr>
        <w:spacing w:line="360" w:lineRule="auto"/>
        <w:jc w:val="both"/>
        <w:rPr>
          <w:rFonts w:ascii="Arial" w:eastAsia="Times New Roman" w:hAnsi="Arial" w:cs="Arial"/>
          <w:lang w:eastAsia="en-IE"/>
        </w:rPr>
      </w:pPr>
      <w:r>
        <w:rPr>
          <w:rFonts w:ascii="Arial" w:eastAsia="Times New Roman" w:hAnsi="Arial" w:cs="Arial"/>
          <w:lang w:eastAsia="en-IE"/>
        </w:rPr>
        <w:t xml:space="preserve">Ms Denning outlined that the </w:t>
      </w:r>
      <w:r w:rsidRPr="00A51E34">
        <w:rPr>
          <w:rFonts w:ascii="Arial" w:eastAsia="Times New Roman" w:hAnsi="Arial" w:cs="Arial"/>
          <w:lang w:eastAsia="en-IE"/>
        </w:rPr>
        <w:t>most recent meeting of the Judicial Planning Implementation Steering Group chaired by the Department of Justice took place on 20</w:t>
      </w:r>
      <w:r w:rsidRPr="00BF08FB">
        <w:rPr>
          <w:rFonts w:ascii="Arial" w:eastAsia="Times New Roman" w:hAnsi="Arial" w:cs="Arial"/>
          <w:vertAlign w:val="superscript"/>
          <w:lang w:eastAsia="en-IE"/>
        </w:rPr>
        <w:t>th</w:t>
      </w:r>
      <w:r w:rsidRPr="00A51E34">
        <w:rPr>
          <w:rFonts w:ascii="Arial" w:eastAsia="Times New Roman" w:hAnsi="Arial" w:cs="Arial"/>
          <w:lang w:eastAsia="en-IE"/>
        </w:rPr>
        <w:t xml:space="preserve"> June 2024. </w:t>
      </w:r>
      <w:r>
        <w:rPr>
          <w:rFonts w:ascii="Arial" w:eastAsia="Times New Roman" w:hAnsi="Arial" w:cs="Arial"/>
          <w:lang w:eastAsia="en-IE"/>
        </w:rPr>
        <w:t xml:space="preserve">Ms Denning </w:t>
      </w:r>
      <w:r w:rsidRPr="00A51E34">
        <w:rPr>
          <w:rFonts w:ascii="Arial" w:eastAsia="Times New Roman" w:hAnsi="Arial" w:cs="Arial"/>
          <w:lang w:eastAsia="en-IE"/>
        </w:rPr>
        <w:t xml:space="preserve">attended on behalf of the Court Service. </w:t>
      </w:r>
      <w:r>
        <w:rPr>
          <w:rFonts w:ascii="Arial" w:eastAsia="Times New Roman" w:hAnsi="Arial" w:cs="Arial"/>
          <w:lang w:eastAsia="en-IE"/>
        </w:rPr>
        <w:t xml:space="preserve">At the meeting, Ms Denning outlined plans to support the summer vacation pilot in the High Court and the fifth sitting day in the District Court. </w:t>
      </w:r>
      <w:r w:rsidR="00C5453A">
        <w:rPr>
          <w:rFonts w:ascii="Arial" w:eastAsia="Times New Roman" w:hAnsi="Arial" w:cs="Arial"/>
          <w:lang w:eastAsia="en-IE"/>
        </w:rPr>
        <w:t xml:space="preserve">Ms Denning highlighted that this </w:t>
      </w:r>
      <w:r>
        <w:rPr>
          <w:rFonts w:ascii="Arial" w:eastAsia="Times New Roman" w:hAnsi="Arial" w:cs="Arial"/>
          <w:lang w:eastAsia="en-IE"/>
        </w:rPr>
        <w:t xml:space="preserve">presents a challenge given the current staffing situation. It has been agreed with the Judicial Implementation Group that the fifth day can be supported, if it is used only to list long cases in 2024 (such as long </w:t>
      </w:r>
      <w:proofErr w:type="gramStart"/>
      <w:r>
        <w:rPr>
          <w:rFonts w:ascii="Arial" w:eastAsia="Times New Roman" w:hAnsi="Arial" w:cs="Arial"/>
          <w:lang w:eastAsia="en-IE"/>
        </w:rPr>
        <w:t>Child Care</w:t>
      </w:r>
      <w:proofErr w:type="gramEnd"/>
      <w:r>
        <w:rPr>
          <w:rFonts w:ascii="Arial" w:eastAsia="Times New Roman" w:hAnsi="Arial" w:cs="Arial"/>
          <w:lang w:eastAsia="en-IE"/>
        </w:rPr>
        <w:t xml:space="preserve"> hearings) as these require considerably less administrative support than a large list of short matters. </w:t>
      </w:r>
      <w:r w:rsidRPr="00A51E34">
        <w:rPr>
          <w:rFonts w:ascii="Arial" w:eastAsia="Times New Roman" w:hAnsi="Arial" w:cs="Arial"/>
          <w:lang w:eastAsia="en-IE"/>
        </w:rPr>
        <w:t xml:space="preserve">Mr. Justice McDonald shared the very </w:t>
      </w:r>
      <w:r>
        <w:rPr>
          <w:rFonts w:ascii="Arial" w:eastAsia="Times New Roman" w:hAnsi="Arial" w:cs="Arial"/>
          <w:lang w:eastAsia="en-IE"/>
        </w:rPr>
        <w:t xml:space="preserve">positive </w:t>
      </w:r>
      <w:r w:rsidRPr="00A51E34">
        <w:rPr>
          <w:rFonts w:ascii="Arial" w:eastAsia="Times New Roman" w:hAnsi="Arial" w:cs="Arial"/>
          <w:lang w:eastAsia="en-IE"/>
        </w:rPr>
        <w:t xml:space="preserve">quarterly data reports for Q1 </w:t>
      </w:r>
      <w:r>
        <w:rPr>
          <w:rFonts w:ascii="Arial" w:eastAsia="Times New Roman" w:hAnsi="Arial" w:cs="Arial"/>
          <w:lang w:eastAsia="en-IE"/>
        </w:rPr>
        <w:t xml:space="preserve">2024, </w:t>
      </w:r>
      <w:r w:rsidRPr="00A51E34">
        <w:rPr>
          <w:rFonts w:ascii="Arial" w:eastAsia="Times New Roman" w:hAnsi="Arial" w:cs="Arial"/>
          <w:lang w:eastAsia="en-IE"/>
        </w:rPr>
        <w:t>and the accompanying narratives provided by the Court Presidents. In summary, t</w:t>
      </w:r>
      <w:r w:rsidRPr="00A51E34">
        <w:rPr>
          <w:rFonts w:ascii="Arial" w:hAnsi="Arial" w:cs="Arial"/>
        </w:rPr>
        <w:t xml:space="preserve">he impact of the appointment of additional judges has resulted in reduced waiting times for hearings and for decisions. </w:t>
      </w:r>
      <w:r w:rsidR="00C5453A">
        <w:rPr>
          <w:rFonts w:ascii="Arial" w:hAnsi="Arial" w:cs="Arial"/>
        </w:rPr>
        <w:t xml:space="preserve">Ms Denning outlined that the </w:t>
      </w:r>
      <w:r w:rsidRPr="00A51E34">
        <w:rPr>
          <w:rFonts w:ascii="Arial" w:eastAsia="Times New Roman" w:hAnsi="Arial" w:cs="Arial"/>
          <w:lang w:eastAsia="en-IE"/>
        </w:rPr>
        <w:t>proposed memo for Government, funding requirements and recommendations relating to the 5-day sitting week, powers of Court Presidents and the template Regulatory Impact Assessment</w:t>
      </w:r>
      <w:r w:rsidR="00C5453A">
        <w:rPr>
          <w:rFonts w:ascii="Arial" w:eastAsia="Times New Roman" w:hAnsi="Arial" w:cs="Arial"/>
          <w:lang w:eastAsia="en-IE"/>
        </w:rPr>
        <w:t xml:space="preserve"> were discussed. </w:t>
      </w:r>
    </w:p>
    <w:p w14:paraId="427D68BA" w14:textId="3F777D2F" w:rsidR="00C5453A" w:rsidRDefault="00C5453A" w:rsidP="00B41E16">
      <w:pPr>
        <w:spacing w:line="360" w:lineRule="auto"/>
        <w:jc w:val="both"/>
        <w:rPr>
          <w:rFonts w:ascii="Arial" w:hAnsi="Arial" w:cs="Arial"/>
          <w:iCs/>
          <w:lang w:eastAsia="ja-JP"/>
        </w:rPr>
      </w:pPr>
      <w:r>
        <w:rPr>
          <w:rFonts w:ascii="Arial" w:eastAsia="Times New Roman" w:hAnsi="Arial" w:cs="Arial"/>
          <w:lang w:eastAsia="en-IE"/>
        </w:rPr>
        <w:t>Ms Denning outlined the updates from the</w:t>
      </w:r>
      <w:r w:rsidRPr="00A51E34">
        <w:rPr>
          <w:rFonts w:ascii="Arial" w:eastAsia="Times New Roman" w:hAnsi="Arial" w:cs="Arial"/>
          <w:lang w:eastAsia="en-IE"/>
        </w:rPr>
        <w:t xml:space="preserve"> sub-group</w:t>
      </w:r>
      <w:r w:rsidRPr="00A51E34">
        <w:rPr>
          <w:rFonts w:ascii="Arial" w:hAnsi="Arial" w:cs="Arial"/>
        </w:rPr>
        <w:t xml:space="preserve"> dealing with the recommendations relating to quasi-judicial office holders as well as the powers of Court Presidents. A draft </w:t>
      </w:r>
      <w:r w:rsidRPr="00BF08FB">
        <w:rPr>
          <w:rFonts w:ascii="Arial" w:hAnsi="Arial" w:cs="Arial"/>
          <w:iCs/>
          <w:lang w:eastAsia="ja-JP"/>
        </w:rPr>
        <w:t xml:space="preserve">preliminary report on a legislative strategy in respect of the powers and functions of Presidents and Court Officers, and other matters has been prepared by the Group. </w:t>
      </w:r>
      <w:r>
        <w:rPr>
          <w:rFonts w:ascii="Arial" w:hAnsi="Arial" w:cs="Arial"/>
          <w:iCs/>
          <w:lang w:eastAsia="ja-JP"/>
        </w:rPr>
        <w:t xml:space="preserve"> There is a focus on the potential role of quasi-judicial officers and the applicability of Practice directions across Districts and Circuits. </w:t>
      </w:r>
    </w:p>
    <w:p w14:paraId="5B8D993D" w14:textId="2F2F3E7F" w:rsidR="00E10890" w:rsidRPr="00A51E34" w:rsidRDefault="00E10890" w:rsidP="00B41E16">
      <w:pPr>
        <w:spacing w:line="360" w:lineRule="auto"/>
        <w:jc w:val="both"/>
        <w:rPr>
          <w:rFonts w:ascii="Arial" w:hAnsi="Arial" w:cs="Arial"/>
        </w:rPr>
      </w:pPr>
      <w:r>
        <w:rPr>
          <w:rFonts w:ascii="Arial" w:hAnsi="Arial" w:cs="Arial"/>
        </w:rPr>
        <w:t xml:space="preserve">Ms Denning outlined that she attended the meeting of </w:t>
      </w:r>
      <w:r w:rsidRPr="00A51E34">
        <w:rPr>
          <w:rFonts w:ascii="Arial" w:hAnsi="Arial" w:cs="Arial"/>
        </w:rPr>
        <w:t>the sub-group relating to stakeholder engagement on 9</w:t>
      </w:r>
      <w:r w:rsidRPr="00A51E34">
        <w:rPr>
          <w:rFonts w:ascii="Arial" w:hAnsi="Arial" w:cs="Arial"/>
          <w:vertAlign w:val="superscript"/>
        </w:rPr>
        <w:t>th</w:t>
      </w:r>
      <w:r w:rsidRPr="00A51E34">
        <w:rPr>
          <w:rFonts w:ascii="Arial" w:hAnsi="Arial" w:cs="Arial"/>
        </w:rPr>
        <w:t xml:space="preserve"> May 2024</w:t>
      </w:r>
      <w:r>
        <w:rPr>
          <w:rFonts w:ascii="Arial" w:hAnsi="Arial" w:cs="Arial"/>
        </w:rPr>
        <w:t>,</w:t>
      </w:r>
      <w:r w:rsidRPr="00A51E34">
        <w:rPr>
          <w:rFonts w:ascii="Arial" w:hAnsi="Arial" w:cs="Arial"/>
        </w:rPr>
        <w:t xml:space="preserve"> where a discussion took place on upcoming implementation measures which might impact other justice sector stakeholders, the implications of additional sittings for the broader justice sector and </w:t>
      </w:r>
      <w:r w:rsidRPr="00BF08FB">
        <w:rPr>
          <w:rFonts w:ascii="Arial" w:hAnsi="Arial" w:cs="Arial"/>
        </w:rPr>
        <w:t>on improving the management of presentations from court to custody</w:t>
      </w:r>
      <w:r w:rsidRPr="00A51E34">
        <w:rPr>
          <w:rFonts w:ascii="Arial" w:hAnsi="Arial" w:cs="Arial"/>
        </w:rPr>
        <w:t xml:space="preserve">. Representatives of the Council of the Bar of Ireland and the Law Society joined the meeting for a discussion led by the Department of Justice on proposals to redesign the Criminal Legal Aid processing system.  </w:t>
      </w:r>
    </w:p>
    <w:p w14:paraId="588ED9D6" w14:textId="77777777" w:rsidR="00ED6693" w:rsidRDefault="00ED6693" w:rsidP="00D63913">
      <w:pPr>
        <w:spacing w:after="120" w:line="360" w:lineRule="auto"/>
        <w:rPr>
          <w:rFonts w:ascii="Arial" w:hAnsi="Arial" w:cs="Arial"/>
        </w:rPr>
      </w:pPr>
    </w:p>
    <w:p w14:paraId="259704CC" w14:textId="196464A3" w:rsidR="00C5453A" w:rsidRPr="0003177F" w:rsidRDefault="00C5453A" w:rsidP="00D63913">
      <w:pPr>
        <w:spacing w:after="120" w:line="360" w:lineRule="auto"/>
        <w:rPr>
          <w:rFonts w:ascii="Arial" w:hAnsi="Arial" w:cs="Arial"/>
          <w:i/>
          <w:iCs/>
        </w:rPr>
      </w:pPr>
      <w:r w:rsidRPr="0003177F">
        <w:rPr>
          <w:rFonts w:ascii="Arial" w:hAnsi="Arial" w:cs="Arial"/>
          <w:i/>
          <w:iCs/>
        </w:rPr>
        <w:t>Probate</w:t>
      </w:r>
    </w:p>
    <w:p w14:paraId="277EE0BB" w14:textId="18C01894" w:rsidR="006A5945" w:rsidRPr="006A5945" w:rsidRDefault="00C5453A" w:rsidP="00B41E16">
      <w:pPr>
        <w:spacing w:after="120" w:line="360" w:lineRule="auto"/>
        <w:jc w:val="both"/>
        <w:rPr>
          <w:rFonts w:ascii="Arial" w:hAnsi="Arial" w:cs="Arial"/>
        </w:rPr>
      </w:pPr>
      <w:r>
        <w:rPr>
          <w:rFonts w:ascii="Arial" w:hAnsi="Arial" w:cs="Arial"/>
        </w:rPr>
        <w:t xml:space="preserve">Ms </w:t>
      </w:r>
      <w:r w:rsidR="006A5945">
        <w:rPr>
          <w:rFonts w:ascii="Arial" w:hAnsi="Arial" w:cs="Arial"/>
        </w:rPr>
        <w:t>Denning</w:t>
      </w:r>
      <w:r>
        <w:rPr>
          <w:rFonts w:ascii="Arial" w:hAnsi="Arial" w:cs="Arial"/>
        </w:rPr>
        <w:t xml:space="preserve"> presented the efforts made to reduce probate delays prior to the launch of the E-Probate project. </w:t>
      </w:r>
      <w:r w:rsidR="006A5945">
        <w:rPr>
          <w:rFonts w:ascii="Arial" w:hAnsi="Arial" w:cs="Arial"/>
        </w:rPr>
        <w:t xml:space="preserve">Clear, </w:t>
      </w:r>
      <w:r w:rsidR="006A5945" w:rsidRPr="008A4F6A">
        <w:rPr>
          <w:rFonts w:ascii="Arial" w:eastAsia="Times New Roman" w:hAnsi="Arial" w:cs="Arial"/>
          <w:shd w:val="clear" w:color="auto" w:fill="FFFFFF"/>
          <w:lang w:eastAsia="en-IE"/>
        </w:rPr>
        <w:t xml:space="preserve">easy to understand, accurate </w:t>
      </w:r>
      <w:r w:rsidR="006A5945">
        <w:rPr>
          <w:rFonts w:ascii="Arial" w:eastAsia="Times New Roman" w:hAnsi="Arial" w:cs="Arial"/>
          <w:shd w:val="clear" w:color="auto" w:fill="FFFFFF"/>
          <w:lang w:eastAsia="en-IE"/>
        </w:rPr>
        <w:t>information on the process, fees and how to complete forms is now available on Courts.ie. A Probate eligibility checker has been developed, enabling users</w:t>
      </w:r>
      <w:r w:rsidR="006A5945" w:rsidRPr="008A4F6A">
        <w:rPr>
          <w:rFonts w:ascii="Arial" w:eastAsia="Times New Roman" w:hAnsi="Arial" w:cs="Arial"/>
          <w:shd w:val="clear" w:color="auto" w:fill="FFFFFF"/>
          <w:lang w:eastAsia="en-IE"/>
        </w:rPr>
        <w:t xml:space="preserve"> to check in advance if they're entitled to apply</w:t>
      </w:r>
      <w:r w:rsidR="006A5945">
        <w:rPr>
          <w:rFonts w:ascii="Arial" w:eastAsia="Times New Roman" w:hAnsi="Arial" w:cs="Arial"/>
          <w:shd w:val="clear" w:color="auto" w:fill="FFFFFF"/>
          <w:lang w:eastAsia="en-IE"/>
        </w:rPr>
        <w:t xml:space="preserve">. Ms Denning outlined that the Probate Office </w:t>
      </w:r>
      <w:r w:rsidR="006A5945" w:rsidRPr="008A4F6A">
        <w:rPr>
          <w:rFonts w:ascii="Arial" w:eastAsia="Times New Roman" w:hAnsi="Arial" w:cs="Arial"/>
          <w:shd w:val="clear" w:color="auto" w:fill="FFFFFF"/>
          <w:lang w:eastAsia="en-IE"/>
        </w:rPr>
        <w:t>piloted in Q1 a new application form for Probate and Intestacy which includes a checklist and guidance in relation to each application.  The results of the pilot were extremely positive with the error rate on the applications reducing significantly. In Q2, the new forms were released nationwide and have had an immediate impact on waiting times. Waiting times for solicitors’ applications are currently at approximately 13 weeks, down from 20 weeks</w:t>
      </w:r>
      <w:r w:rsidR="006A5945">
        <w:rPr>
          <w:rFonts w:ascii="Arial" w:eastAsia="Times New Roman" w:hAnsi="Arial" w:cs="Arial"/>
          <w:shd w:val="clear" w:color="auto" w:fill="FFFFFF"/>
          <w:lang w:eastAsia="en-IE"/>
        </w:rPr>
        <w:t>.</w:t>
      </w:r>
    </w:p>
    <w:p w14:paraId="704947BD" w14:textId="738C76A2" w:rsidR="0003177F" w:rsidRPr="00F85B9E" w:rsidRDefault="006A5945" w:rsidP="0003177F">
      <w:pPr>
        <w:spacing w:after="0" w:line="360" w:lineRule="auto"/>
        <w:jc w:val="both"/>
        <w:textAlignment w:val="baseline"/>
        <w:rPr>
          <w:rFonts w:ascii="Arial" w:eastAsia="Times New Roman" w:hAnsi="Arial" w:cs="Arial"/>
          <w:shd w:val="clear" w:color="auto" w:fill="FFFFFF"/>
          <w:lang w:eastAsia="en-IE"/>
        </w:rPr>
      </w:pPr>
      <w:r w:rsidRPr="008A4F6A">
        <w:rPr>
          <w:rFonts w:ascii="Arial" w:eastAsia="Times New Roman" w:hAnsi="Arial" w:cs="Arial"/>
          <w:shd w:val="clear" w:color="auto" w:fill="FFFFFF"/>
          <w:lang w:eastAsia="en-IE"/>
        </w:rPr>
        <w:lastRenderedPageBreak/>
        <w:t xml:space="preserve"> </w:t>
      </w:r>
    </w:p>
    <w:p w14:paraId="24277001" w14:textId="26B86650" w:rsidR="0003177F" w:rsidRPr="0003177F" w:rsidRDefault="0003177F" w:rsidP="00D63913">
      <w:pPr>
        <w:spacing w:after="120" w:line="360" w:lineRule="auto"/>
        <w:rPr>
          <w:rFonts w:ascii="Arial" w:hAnsi="Arial" w:cs="Arial"/>
          <w:i/>
          <w:iCs/>
        </w:rPr>
      </w:pPr>
      <w:r w:rsidRPr="0003177F">
        <w:rPr>
          <w:rFonts w:ascii="Arial" w:hAnsi="Arial" w:cs="Arial"/>
          <w:i/>
          <w:iCs/>
        </w:rPr>
        <w:t xml:space="preserve">Office of the Legal Costs Adjudicator </w:t>
      </w:r>
    </w:p>
    <w:p w14:paraId="45703BD1" w14:textId="6EB01385" w:rsidR="0003177F" w:rsidRPr="008A4F6A" w:rsidRDefault="0003177F" w:rsidP="00B41E16">
      <w:pPr>
        <w:spacing w:after="0" w:line="360" w:lineRule="auto"/>
        <w:jc w:val="both"/>
        <w:textAlignment w:val="baseline"/>
        <w:rPr>
          <w:rFonts w:ascii="Arial" w:eastAsia="Times New Roman" w:hAnsi="Arial" w:cs="Arial"/>
          <w:lang w:eastAsia="en-IE"/>
        </w:rPr>
      </w:pPr>
      <w:r>
        <w:rPr>
          <w:rFonts w:ascii="Arial" w:eastAsia="Times New Roman" w:hAnsi="Arial" w:cs="Arial"/>
          <w:lang w:eastAsia="en-IE"/>
        </w:rPr>
        <w:t xml:space="preserve">Ms Denning outlined that </w:t>
      </w:r>
      <w:r w:rsidRPr="008A4F6A">
        <w:rPr>
          <w:rFonts w:ascii="Arial" w:eastAsia="Times New Roman" w:hAnsi="Arial" w:cs="Arial"/>
          <w:lang w:eastAsia="en-IE"/>
        </w:rPr>
        <w:t xml:space="preserve">a recruitment competition was held for a Legal Costs Adjudicator and Mr. Stephen Boggs, BL, was the successful applicant and started work on 3 July 2024. </w:t>
      </w:r>
      <w:r>
        <w:rPr>
          <w:rFonts w:ascii="Arial" w:eastAsia="Times New Roman" w:hAnsi="Arial" w:cs="Arial"/>
          <w:lang w:eastAsia="en-IE"/>
        </w:rPr>
        <w:t>Ms Denning stated that</w:t>
      </w:r>
      <w:r w:rsidRPr="008A4F6A">
        <w:rPr>
          <w:rFonts w:ascii="Arial" w:eastAsia="Times New Roman" w:hAnsi="Arial" w:cs="Arial"/>
          <w:lang w:eastAsia="en-IE"/>
        </w:rPr>
        <w:t xml:space="preserve"> a competition to appoint a Chief Legal Costs Adjudicator to succeed Paul Behan, who is scheduled to retire on 7 October 2024</w:t>
      </w:r>
      <w:r>
        <w:rPr>
          <w:rFonts w:ascii="Arial" w:eastAsia="Times New Roman" w:hAnsi="Arial" w:cs="Arial"/>
          <w:lang w:eastAsia="en-IE"/>
        </w:rPr>
        <w:t>, has now concluded</w:t>
      </w:r>
      <w:r w:rsidRPr="008A4F6A">
        <w:rPr>
          <w:rFonts w:ascii="Arial" w:eastAsia="Times New Roman" w:hAnsi="Arial" w:cs="Arial"/>
          <w:lang w:eastAsia="en-IE"/>
        </w:rPr>
        <w:t xml:space="preserve">. </w:t>
      </w:r>
      <w:r>
        <w:rPr>
          <w:rFonts w:ascii="Arial" w:eastAsia="Times New Roman" w:hAnsi="Arial" w:cs="Arial"/>
          <w:lang w:eastAsia="en-IE"/>
        </w:rPr>
        <w:t xml:space="preserve">The </w:t>
      </w:r>
      <w:r w:rsidRPr="008A4F6A">
        <w:rPr>
          <w:rFonts w:ascii="Arial" w:eastAsia="Times New Roman" w:hAnsi="Arial" w:cs="Arial"/>
          <w:lang w:eastAsia="en-IE"/>
        </w:rPr>
        <w:t xml:space="preserve">name of the chosen candidate will be passed to Government for approval.  </w:t>
      </w:r>
    </w:p>
    <w:p w14:paraId="021136DE" w14:textId="77777777" w:rsidR="0003177F" w:rsidRDefault="0003177F" w:rsidP="00D63913">
      <w:pPr>
        <w:spacing w:after="120" w:line="360" w:lineRule="auto"/>
        <w:rPr>
          <w:rFonts w:ascii="Arial" w:hAnsi="Arial" w:cs="Arial"/>
        </w:rPr>
      </w:pPr>
    </w:p>
    <w:p w14:paraId="551E57E8" w14:textId="77777777" w:rsidR="0003177F" w:rsidRPr="0003177F" w:rsidRDefault="0003177F" w:rsidP="00D63913">
      <w:pPr>
        <w:spacing w:after="120" w:line="360" w:lineRule="auto"/>
        <w:rPr>
          <w:rFonts w:ascii="Arial" w:hAnsi="Arial" w:cs="Arial"/>
          <w:i/>
          <w:iCs/>
        </w:rPr>
      </w:pPr>
      <w:r w:rsidRPr="0003177F">
        <w:rPr>
          <w:rFonts w:ascii="Arial" w:hAnsi="Arial" w:cs="Arial"/>
          <w:i/>
          <w:iCs/>
        </w:rPr>
        <w:t>Assisted Decision Making (Capacity) Act</w:t>
      </w:r>
    </w:p>
    <w:p w14:paraId="39340A1C" w14:textId="3671D7B2" w:rsidR="0003177F" w:rsidRDefault="0003177F" w:rsidP="00B41E16">
      <w:pPr>
        <w:spacing w:after="120" w:line="360" w:lineRule="auto"/>
        <w:jc w:val="both"/>
        <w:rPr>
          <w:rFonts w:ascii="Arial" w:hAnsi="Arial" w:cs="Arial"/>
        </w:rPr>
      </w:pPr>
      <w:r>
        <w:rPr>
          <w:rFonts w:ascii="Arial" w:hAnsi="Arial" w:cs="Arial"/>
        </w:rPr>
        <w:t xml:space="preserve">Ms Denning presented the </w:t>
      </w:r>
      <w:r w:rsidR="00600DFC">
        <w:rPr>
          <w:rFonts w:ascii="Arial" w:hAnsi="Arial" w:cs="Arial"/>
        </w:rPr>
        <w:t xml:space="preserve">significant </w:t>
      </w:r>
      <w:r>
        <w:rPr>
          <w:rFonts w:ascii="Arial" w:hAnsi="Arial" w:cs="Arial"/>
        </w:rPr>
        <w:t xml:space="preserve">efforts made by the </w:t>
      </w:r>
      <w:r w:rsidRPr="008A4F6A">
        <w:rPr>
          <w:rFonts w:ascii="Arial" w:hAnsi="Arial" w:cs="Arial"/>
        </w:rPr>
        <w:t>Offices of Wards of Court and the General Solicitor to promote the process to discharge people from Wardship, as part of the Assisted Decision Making (Capacity) Act 2015 (ADMCA)</w:t>
      </w:r>
      <w:r>
        <w:rPr>
          <w:rFonts w:ascii="Arial" w:hAnsi="Arial" w:cs="Arial"/>
        </w:rPr>
        <w:t>,</w:t>
      </w:r>
      <w:r w:rsidR="00600DFC">
        <w:rPr>
          <w:rFonts w:ascii="Arial" w:hAnsi="Arial" w:cs="Arial"/>
        </w:rPr>
        <w:t xml:space="preserve"> </w:t>
      </w:r>
      <w:r w:rsidRPr="008A4F6A">
        <w:rPr>
          <w:rFonts w:ascii="Arial" w:hAnsi="Arial" w:cs="Arial"/>
        </w:rPr>
        <w:t>The Office of Wards of Court carried out a survey of private Committees with 15% of the over 1,100 committees replying. The responses indicated that over 95% of committees who responded were aware of the ADMCA, and the requirement to discharge all wards within 3 years of April 2023. The survey also revealed some of the reasons why committees are not bringing discharge applications at this stag</w:t>
      </w:r>
      <w:r>
        <w:rPr>
          <w:rFonts w:ascii="Arial" w:hAnsi="Arial" w:cs="Arial"/>
        </w:rPr>
        <w:t xml:space="preserve">e, ranging from their </w:t>
      </w:r>
      <w:r w:rsidR="00600DFC">
        <w:rPr>
          <w:rFonts w:ascii="Arial" w:hAnsi="Arial" w:cs="Arial"/>
        </w:rPr>
        <w:t>satisfaction</w:t>
      </w:r>
      <w:r>
        <w:rPr>
          <w:rFonts w:ascii="Arial" w:hAnsi="Arial" w:cs="Arial"/>
        </w:rPr>
        <w:t xml:space="preserve"> with the service provided by the </w:t>
      </w:r>
      <w:r w:rsidR="00600DFC">
        <w:rPr>
          <w:rFonts w:ascii="Arial" w:hAnsi="Arial" w:cs="Arial"/>
        </w:rPr>
        <w:t>Wards</w:t>
      </w:r>
      <w:r>
        <w:rPr>
          <w:rFonts w:ascii="Arial" w:hAnsi="Arial" w:cs="Arial"/>
        </w:rPr>
        <w:t xml:space="preserve"> of Court Offices, uncertainty in relation to investment of funds</w:t>
      </w:r>
      <w:r w:rsidR="00600DFC">
        <w:rPr>
          <w:rFonts w:ascii="Arial" w:hAnsi="Arial" w:cs="Arial"/>
        </w:rPr>
        <w:t xml:space="preserve">, </w:t>
      </w:r>
      <w:r>
        <w:rPr>
          <w:rFonts w:ascii="Arial" w:hAnsi="Arial" w:cs="Arial"/>
        </w:rPr>
        <w:t xml:space="preserve">the costs involved in a discharge application, to the </w:t>
      </w:r>
      <w:r w:rsidRPr="008A4F6A">
        <w:rPr>
          <w:rFonts w:ascii="Arial" w:hAnsi="Arial" w:cs="Arial"/>
        </w:rPr>
        <w:t>negative publicity surrounding the Decision Support Service</w:t>
      </w:r>
      <w:r>
        <w:rPr>
          <w:rFonts w:ascii="Arial" w:hAnsi="Arial" w:cs="Arial"/>
        </w:rPr>
        <w:t xml:space="preserve">. The Office continue to engage with individual committees to encourage them to initiate discharge applications. </w:t>
      </w:r>
      <w:r w:rsidR="00600DFC">
        <w:rPr>
          <w:rFonts w:ascii="Arial" w:hAnsi="Arial" w:cs="Arial"/>
        </w:rPr>
        <w:t xml:space="preserve">Ms Denning outlined that </w:t>
      </w:r>
      <w:r w:rsidRPr="008A4F6A">
        <w:rPr>
          <w:rFonts w:ascii="Arial" w:hAnsi="Arial" w:cs="Arial"/>
        </w:rPr>
        <w:t xml:space="preserve">Courts Service has sought an urgent meeting with the Department of Children, to clarify what can be done from a legislative point of view to help </w:t>
      </w:r>
      <w:r w:rsidR="00600DFC">
        <w:rPr>
          <w:rFonts w:ascii="Arial" w:hAnsi="Arial" w:cs="Arial"/>
        </w:rPr>
        <w:t>with</w:t>
      </w:r>
      <w:r w:rsidRPr="008A4F6A">
        <w:rPr>
          <w:rFonts w:ascii="Arial" w:hAnsi="Arial" w:cs="Arial"/>
        </w:rPr>
        <w:t xml:space="preserve"> this process.</w:t>
      </w:r>
    </w:p>
    <w:p w14:paraId="68951065" w14:textId="77777777" w:rsidR="00F85B9E" w:rsidRPr="008A4F6A" w:rsidRDefault="00F85B9E" w:rsidP="0003177F">
      <w:pPr>
        <w:spacing w:after="120" w:line="360" w:lineRule="auto"/>
        <w:rPr>
          <w:rFonts w:ascii="Arial" w:hAnsi="Arial" w:cs="Arial"/>
        </w:rPr>
      </w:pPr>
    </w:p>
    <w:p w14:paraId="550AF3D6" w14:textId="77777777" w:rsidR="00600DFC" w:rsidRPr="00600DFC" w:rsidRDefault="00600DFC" w:rsidP="00D63913">
      <w:pPr>
        <w:spacing w:after="120" w:line="360" w:lineRule="auto"/>
        <w:rPr>
          <w:rFonts w:ascii="Arial" w:hAnsi="Arial" w:cs="Arial"/>
          <w:i/>
          <w:iCs/>
        </w:rPr>
      </w:pPr>
      <w:r w:rsidRPr="00600DFC">
        <w:rPr>
          <w:rFonts w:ascii="Arial" w:hAnsi="Arial" w:cs="Arial"/>
          <w:i/>
          <w:iCs/>
        </w:rPr>
        <w:t>Dublin Family Courts (</w:t>
      </w:r>
      <w:r w:rsidR="007C7E24" w:rsidRPr="00600DFC">
        <w:rPr>
          <w:rFonts w:ascii="Arial" w:hAnsi="Arial" w:cs="Arial"/>
          <w:i/>
          <w:iCs/>
        </w:rPr>
        <w:t>Hammond Lane</w:t>
      </w:r>
      <w:r w:rsidRPr="00600DFC">
        <w:rPr>
          <w:rFonts w:ascii="Arial" w:hAnsi="Arial" w:cs="Arial"/>
          <w:i/>
          <w:iCs/>
        </w:rPr>
        <w:t>)</w:t>
      </w:r>
    </w:p>
    <w:p w14:paraId="5BF3046D" w14:textId="08A6EB8D" w:rsidR="00600DFC" w:rsidRDefault="00600DFC" w:rsidP="00B41E16">
      <w:pPr>
        <w:spacing w:after="120" w:line="360" w:lineRule="auto"/>
        <w:jc w:val="both"/>
        <w:rPr>
          <w:rFonts w:ascii="Arial" w:hAnsi="Arial" w:cs="Arial"/>
        </w:rPr>
      </w:pPr>
      <w:r>
        <w:rPr>
          <w:rFonts w:ascii="Arial" w:hAnsi="Arial" w:cs="Arial"/>
        </w:rPr>
        <w:t xml:space="preserve">Ms Denning outlined that since this report was circulated, the Courts Service has received the </w:t>
      </w:r>
      <w:r w:rsidR="007C7E24">
        <w:rPr>
          <w:rFonts w:ascii="Arial" w:hAnsi="Arial" w:cs="Arial"/>
        </w:rPr>
        <w:t xml:space="preserve">approval </w:t>
      </w:r>
      <w:r>
        <w:rPr>
          <w:rFonts w:ascii="Arial" w:hAnsi="Arial" w:cs="Arial"/>
        </w:rPr>
        <w:t xml:space="preserve">of the Secretary General of the Department of Justice </w:t>
      </w:r>
      <w:r w:rsidR="007C7E24">
        <w:rPr>
          <w:rFonts w:ascii="Arial" w:hAnsi="Arial" w:cs="Arial"/>
        </w:rPr>
        <w:t xml:space="preserve">to </w:t>
      </w:r>
      <w:r>
        <w:rPr>
          <w:rFonts w:ascii="Arial" w:hAnsi="Arial" w:cs="Arial"/>
        </w:rPr>
        <w:t>initiate the pre-qualification</w:t>
      </w:r>
      <w:r w:rsidR="003A76E3">
        <w:rPr>
          <w:rFonts w:ascii="Arial" w:hAnsi="Arial" w:cs="Arial"/>
        </w:rPr>
        <w:t xml:space="preserve"> </w:t>
      </w:r>
      <w:r>
        <w:rPr>
          <w:rFonts w:ascii="Arial" w:hAnsi="Arial" w:cs="Arial"/>
        </w:rPr>
        <w:t xml:space="preserve">stage of the Public Private Partnership procurement process for the Dublin Family Courts complex. Ms Denning stated that </w:t>
      </w:r>
      <w:r w:rsidRPr="00600DFC">
        <w:rPr>
          <w:rFonts w:ascii="Arial" w:hAnsi="Arial" w:cs="Arial"/>
        </w:rPr>
        <w:t>approval to initiate the pre-qualification stage will be requested from the Project Board at their next scheduled meeting on 18th July.</w:t>
      </w:r>
    </w:p>
    <w:p w14:paraId="385BEEBF" w14:textId="77777777" w:rsidR="00F85B9E" w:rsidRDefault="00F85B9E" w:rsidP="00D63913">
      <w:pPr>
        <w:spacing w:after="120" w:line="360" w:lineRule="auto"/>
        <w:rPr>
          <w:rFonts w:ascii="Arial" w:hAnsi="Arial" w:cs="Arial"/>
        </w:rPr>
      </w:pPr>
    </w:p>
    <w:p w14:paraId="11232BBB" w14:textId="77777777" w:rsidR="00600DFC" w:rsidRPr="00600DFC" w:rsidRDefault="00600DFC" w:rsidP="00600DFC">
      <w:pPr>
        <w:pStyle w:val="ListParagraph"/>
        <w:autoSpaceDE w:val="0"/>
        <w:autoSpaceDN w:val="0"/>
        <w:spacing w:line="360" w:lineRule="auto"/>
        <w:ind w:left="0"/>
        <w:jc w:val="both"/>
        <w:rPr>
          <w:rFonts w:ascii="Arial" w:hAnsi="Arial" w:cs="Arial"/>
          <w:i/>
          <w:iCs/>
          <w:highlight w:val="yellow"/>
        </w:rPr>
      </w:pPr>
      <w:r w:rsidRPr="00600DFC">
        <w:rPr>
          <w:rFonts w:ascii="Arial" w:hAnsi="Arial" w:cs="Arial"/>
          <w:i/>
          <w:iCs/>
        </w:rPr>
        <w:t>Civil Service Excellence and Innovation Awards</w:t>
      </w:r>
    </w:p>
    <w:p w14:paraId="0D517137" w14:textId="39E2F452" w:rsidR="00600DFC" w:rsidRDefault="00600DFC" w:rsidP="00B41E16">
      <w:pPr>
        <w:spacing w:line="360" w:lineRule="auto"/>
        <w:jc w:val="both"/>
        <w:rPr>
          <w:rFonts w:ascii="Arial" w:eastAsia="Arial" w:hAnsi="Arial" w:cs="Arial"/>
        </w:rPr>
      </w:pPr>
      <w:r>
        <w:rPr>
          <w:rFonts w:ascii="Arial" w:eastAsia="Arial" w:hAnsi="Arial" w:cs="Arial"/>
        </w:rPr>
        <w:t xml:space="preserve">Ms Denning outlined that the Courts Service had won an award at </w:t>
      </w:r>
      <w:r w:rsidRPr="00BF08FB">
        <w:rPr>
          <w:rFonts w:ascii="Arial" w:eastAsia="Arial" w:hAnsi="Arial" w:cs="Arial"/>
        </w:rPr>
        <w:t>the 9</w:t>
      </w:r>
      <w:r w:rsidRPr="00BF08FB">
        <w:rPr>
          <w:rFonts w:ascii="Arial" w:eastAsia="Arial" w:hAnsi="Arial" w:cs="Arial"/>
          <w:vertAlign w:val="superscript"/>
        </w:rPr>
        <w:t>th</w:t>
      </w:r>
      <w:r w:rsidRPr="00BF08FB">
        <w:rPr>
          <w:rFonts w:ascii="Arial" w:eastAsia="Arial" w:hAnsi="Arial" w:cs="Arial"/>
        </w:rPr>
        <w:t xml:space="preserve"> Civil Service Excellence and Innovation Awards</w:t>
      </w:r>
      <w:r>
        <w:rPr>
          <w:rFonts w:ascii="Arial" w:eastAsia="Arial" w:hAnsi="Arial" w:cs="Arial"/>
        </w:rPr>
        <w:t xml:space="preserve"> The awards are </w:t>
      </w:r>
      <w:r w:rsidRPr="00BF08FB">
        <w:rPr>
          <w:rFonts w:ascii="Arial" w:eastAsia="Arial" w:hAnsi="Arial" w:cs="Arial"/>
        </w:rPr>
        <w:t>run by the Department of Public Expenditure, NDP Delivery and Reform and recognise exceptional work and new way</w:t>
      </w:r>
      <w:r>
        <w:rPr>
          <w:rFonts w:ascii="Arial" w:eastAsia="Arial" w:hAnsi="Arial" w:cs="Arial"/>
        </w:rPr>
        <w:t>s of</w:t>
      </w:r>
      <w:r w:rsidRPr="00BF08FB">
        <w:rPr>
          <w:rFonts w:ascii="Arial" w:eastAsia="Arial" w:hAnsi="Arial" w:cs="Arial"/>
        </w:rPr>
        <w:t xml:space="preserve"> approaching work. The Courts Service was nominated in two </w:t>
      </w:r>
      <w:r w:rsidRPr="00901B62">
        <w:rPr>
          <w:rFonts w:ascii="Arial" w:eastAsia="Arial" w:hAnsi="Arial" w:cs="Arial"/>
        </w:rPr>
        <w:t>categories.</w:t>
      </w:r>
      <w:r w:rsidRPr="00BF08FB">
        <w:rPr>
          <w:rFonts w:ascii="Arial" w:eastAsia="Arial" w:hAnsi="Arial" w:cs="Arial"/>
        </w:rPr>
        <w:t xml:space="preserve"> </w:t>
      </w:r>
    </w:p>
    <w:p w14:paraId="00DC135A" w14:textId="77777777" w:rsidR="00E12424" w:rsidRDefault="00E12424" w:rsidP="00600DFC">
      <w:pPr>
        <w:spacing w:line="360" w:lineRule="auto"/>
        <w:rPr>
          <w:rFonts w:ascii="Arial" w:eastAsia="Arial" w:hAnsi="Arial" w:cs="Arial"/>
        </w:rPr>
      </w:pPr>
    </w:p>
    <w:p w14:paraId="2B495BFF" w14:textId="77777777" w:rsidR="00E12424" w:rsidRDefault="00E12424" w:rsidP="00600DFC">
      <w:pPr>
        <w:spacing w:line="360" w:lineRule="auto"/>
        <w:rPr>
          <w:rFonts w:ascii="Arial" w:eastAsia="Arial" w:hAnsi="Arial" w:cs="Arial"/>
        </w:rPr>
      </w:pPr>
    </w:p>
    <w:p w14:paraId="15994932" w14:textId="77777777" w:rsidR="00E12424" w:rsidRPr="00BF08FB" w:rsidRDefault="00E12424" w:rsidP="00600DFC">
      <w:pPr>
        <w:spacing w:line="360" w:lineRule="auto"/>
        <w:rPr>
          <w:rFonts w:ascii="Arial" w:eastAsia="Arial" w:hAnsi="Arial" w:cs="Arial"/>
        </w:rPr>
      </w:pPr>
    </w:p>
    <w:p w14:paraId="715A661F" w14:textId="118CF812" w:rsidR="00600DFC" w:rsidRPr="00F85B9E" w:rsidRDefault="00600DFC" w:rsidP="00996BD9">
      <w:pPr>
        <w:pStyle w:val="ListParagraph"/>
        <w:numPr>
          <w:ilvl w:val="0"/>
          <w:numId w:val="8"/>
        </w:numPr>
        <w:spacing w:after="0" w:line="360" w:lineRule="auto"/>
        <w:rPr>
          <w:rFonts w:ascii="Arial" w:eastAsia="Arial" w:hAnsi="Arial" w:cs="Arial"/>
        </w:rPr>
      </w:pPr>
      <w:r w:rsidRPr="00600DFC">
        <w:rPr>
          <w:rFonts w:ascii="Arial" w:eastAsia="Arial" w:hAnsi="Arial" w:cs="Arial"/>
        </w:rPr>
        <w:t xml:space="preserve">Digital First – where digital processes or technological innovation has been used to improve systems, </w:t>
      </w:r>
      <w:proofErr w:type="gramStart"/>
      <w:r w:rsidRPr="00600DFC">
        <w:rPr>
          <w:rFonts w:ascii="Arial" w:eastAsia="Arial" w:hAnsi="Arial" w:cs="Arial"/>
        </w:rPr>
        <w:t>business</w:t>
      </w:r>
      <w:proofErr w:type="gramEnd"/>
      <w:r w:rsidRPr="00600DFC">
        <w:rPr>
          <w:rFonts w:ascii="Arial" w:eastAsia="Arial" w:hAnsi="Arial" w:cs="Arial"/>
        </w:rPr>
        <w:t xml:space="preserve"> or processes. </w:t>
      </w:r>
      <w:r w:rsidRPr="00F85B9E">
        <w:rPr>
          <w:rFonts w:ascii="Arial" w:eastAsia="Arial" w:hAnsi="Arial" w:cs="Arial"/>
        </w:rPr>
        <w:t xml:space="preserve">The digital jury system was shortlisted for providing a digital solution for people to respond to a jury summons while modernising how we manage panels. </w:t>
      </w:r>
    </w:p>
    <w:p w14:paraId="45C9F1A5" w14:textId="164DD761" w:rsidR="00600DFC" w:rsidRDefault="00600DFC" w:rsidP="00996BD9">
      <w:pPr>
        <w:pStyle w:val="ListParagraph"/>
        <w:numPr>
          <w:ilvl w:val="0"/>
          <w:numId w:val="8"/>
        </w:numPr>
        <w:spacing w:after="0" w:line="360" w:lineRule="auto"/>
        <w:rPr>
          <w:rFonts w:ascii="Arial" w:eastAsia="Arial" w:hAnsi="Arial" w:cs="Arial"/>
        </w:rPr>
      </w:pPr>
      <w:r w:rsidRPr="00600DFC">
        <w:rPr>
          <w:rFonts w:ascii="Arial" w:eastAsia="Arial" w:hAnsi="Arial" w:cs="Arial"/>
        </w:rPr>
        <w:t>Customer Impact and Customer Service- recognising work that has a high positive impact on citizens where consideration of the customer has been central to the design and delivery of services.</w:t>
      </w:r>
      <w:r>
        <w:rPr>
          <w:rFonts w:ascii="Arial" w:eastAsia="Arial" w:hAnsi="Arial" w:cs="Arial"/>
        </w:rPr>
        <w:t xml:space="preserve"> </w:t>
      </w:r>
      <w:r w:rsidRPr="00600DFC">
        <w:rPr>
          <w:rFonts w:ascii="Arial" w:eastAsia="Arial" w:hAnsi="Arial" w:cs="Arial"/>
        </w:rPr>
        <w:t xml:space="preserve">The Courts Service won this award for applying a design approach to deliver user centric family law information. </w:t>
      </w:r>
    </w:p>
    <w:p w14:paraId="65C1D723" w14:textId="77777777" w:rsidR="00F85B9E" w:rsidRPr="00F85B9E" w:rsidRDefault="00F85B9E" w:rsidP="00F85B9E">
      <w:pPr>
        <w:pStyle w:val="ListParagraph"/>
        <w:spacing w:after="0" w:line="360" w:lineRule="auto"/>
        <w:rPr>
          <w:rFonts w:ascii="Arial" w:eastAsia="Arial" w:hAnsi="Arial" w:cs="Arial"/>
        </w:rPr>
      </w:pPr>
    </w:p>
    <w:p w14:paraId="3B5DFE81" w14:textId="58674FCD" w:rsidR="00600DFC" w:rsidRDefault="00600DFC" w:rsidP="00B41E16">
      <w:pPr>
        <w:spacing w:after="120" w:line="360" w:lineRule="auto"/>
        <w:jc w:val="both"/>
        <w:rPr>
          <w:rFonts w:ascii="Arial" w:hAnsi="Arial" w:cs="Arial"/>
        </w:rPr>
      </w:pPr>
      <w:r>
        <w:rPr>
          <w:rFonts w:ascii="Arial" w:hAnsi="Arial" w:cs="Arial"/>
        </w:rPr>
        <w:t xml:space="preserve">The Board congratulated the teams behind the projects for their award and nomination. </w:t>
      </w:r>
    </w:p>
    <w:p w14:paraId="6E65F6C7" w14:textId="77777777" w:rsidR="00427DA2" w:rsidRDefault="00600DFC" w:rsidP="00B41E16">
      <w:pPr>
        <w:spacing w:after="120" w:line="360" w:lineRule="auto"/>
        <w:jc w:val="both"/>
        <w:rPr>
          <w:rFonts w:ascii="Arial" w:hAnsi="Arial" w:cs="Arial"/>
        </w:rPr>
      </w:pPr>
      <w:r>
        <w:rPr>
          <w:rFonts w:ascii="Arial" w:hAnsi="Arial" w:cs="Arial"/>
        </w:rPr>
        <w:t xml:space="preserve">There was a discussion about staffing for additional sittings. Ms </w:t>
      </w:r>
      <w:r w:rsidR="00254BCF">
        <w:rPr>
          <w:rFonts w:ascii="Arial" w:hAnsi="Arial" w:cs="Arial"/>
        </w:rPr>
        <w:t>De</w:t>
      </w:r>
      <w:r w:rsidR="00F85B9E">
        <w:rPr>
          <w:rFonts w:ascii="Arial" w:hAnsi="Arial" w:cs="Arial"/>
        </w:rPr>
        <w:t>nn</w:t>
      </w:r>
      <w:r w:rsidR="00254BCF">
        <w:rPr>
          <w:rFonts w:ascii="Arial" w:hAnsi="Arial" w:cs="Arial"/>
        </w:rPr>
        <w:t>ing</w:t>
      </w:r>
      <w:r>
        <w:rPr>
          <w:rFonts w:ascii="Arial" w:hAnsi="Arial" w:cs="Arial"/>
        </w:rPr>
        <w:t xml:space="preserve"> outlined the </w:t>
      </w:r>
      <w:r w:rsidR="00254BCF">
        <w:rPr>
          <w:rFonts w:ascii="Arial" w:hAnsi="Arial" w:cs="Arial"/>
        </w:rPr>
        <w:t>continuous</w:t>
      </w:r>
      <w:r>
        <w:rPr>
          <w:rFonts w:ascii="Arial" w:hAnsi="Arial" w:cs="Arial"/>
        </w:rPr>
        <w:t xml:space="preserve"> engagement with the Presidents in each jurisdiction in this regard</w:t>
      </w:r>
      <w:r w:rsidR="00F85B9E">
        <w:rPr>
          <w:rFonts w:ascii="Arial" w:hAnsi="Arial" w:cs="Arial"/>
        </w:rPr>
        <w:t>, and the ongoing engagement with the Department of Justice in relation to the operational risks of not funding the implementation of the Judicial Planning Working Group recommendations. The risk is outlined in both the Corporate Risk Register and the Estimates paper. Ms Denning outlined the work that has been done by the Data team, including an analysis of court sittings times and numbers of cases, which will assist with resource allocation.</w:t>
      </w:r>
      <w:r w:rsidR="00427DA2">
        <w:rPr>
          <w:rFonts w:ascii="Arial" w:hAnsi="Arial" w:cs="Arial"/>
        </w:rPr>
        <w:t xml:space="preserve"> </w:t>
      </w:r>
    </w:p>
    <w:p w14:paraId="5C79133A" w14:textId="5E23C097" w:rsidR="00427DA2" w:rsidRPr="001D0795" w:rsidRDefault="00427DA2" w:rsidP="00B41E16">
      <w:pPr>
        <w:spacing w:after="120" w:line="360" w:lineRule="auto"/>
        <w:jc w:val="both"/>
        <w:rPr>
          <w:rFonts w:ascii="Arial" w:hAnsi="Arial" w:cs="Arial"/>
        </w:rPr>
      </w:pPr>
      <w:r>
        <w:rPr>
          <w:rFonts w:ascii="Arial" w:hAnsi="Arial" w:cs="Arial"/>
        </w:rPr>
        <w:t xml:space="preserve">Ms Denning undertook to discuss this with Mr </w:t>
      </w:r>
      <w:r w:rsidRPr="001D0795">
        <w:rPr>
          <w:rFonts w:ascii="Arial" w:hAnsi="Arial" w:cs="Arial"/>
        </w:rPr>
        <w:t xml:space="preserve">Bunyan. (Action </w:t>
      </w:r>
      <w:r w:rsidR="00ED6693" w:rsidRPr="001D0795">
        <w:rPr>
          <w:rFonts w:ascii="Arial" w:hAnsi="Arial" w:cs="Arial"/>
        </w:rPr>
        <w:t>22</w:t>
      </w:r>
      <w:r w:rsidRPr="001D0795">
        <w:rPr>
          <w:rFonts w:ascii="Arial" w:hAnsi="Arial" w:cs="Arial"/>
        </w:rPr>
        <w:t>/2024)</w:t>
      </w:r>
      <w:r w:rsidR="00F85B9E" w:rsidRPr="001D0795">
        <w:rPr>
          <w:rFonts w:ascii="Arial" w:hAnsi="Arial" w:cs="Arial"/>
        </w:rPr>
        <w:t xml:space="preserve"> </w:t>
      </w:r>
      <w:r w:rsidRPr="001D0795">
        <w:rPr>
          <w:rFonts w:ascii="Arial" w:hAnsi="Arial" w:cs="Arial"/>
        </w:rPr>
        <w:t xml:space="preserve">In relation to a further question regarding resourcing, Ms Denning outlined that the Courts Service were not funded for the first tranche of judges and as a result no additional court going staff were appointed. Some Judicial Assistants were appointed. </w:t>
      </w:r>
      <w:r w:rsidR="00D71845">
        <w:rPr>
          <w:rFonts w:ascii="Arial" w:hAnsi="Arial" w:cs="Arial"/>
        </w:rPr>
        <w:t xml:space="preserve">She </w:t>
      </w:r>
      <w:r w:rsidRPr="001D0795">
        <w:rPr>
          <w:rFonts w:ascii="Arial" w:hAnsi="Arial" w:cs="Arial"/>
        </w:rPr>
        <w:t xml:space="preserve">outlined that the Courts Service has recently finalised a HEO and EO competition. These are the grades of Circuit and District Court registrars. The Service has been sanctioned to recruit 100 Clerical Officers. These will fill existing Clerical Officer vacancies and will backfill the consequential vacancies from the recent competitions. It is hoped that 12 </w:t>
      </w:r>
      <w:r w:rsidR="00D71845">
        <w:rPr>
          <w:rFonts w:ascii="Arial" w:hAnsi="Arial" w:cs="Arial"/>
        </w:rPr>
        <w:t>new posts will be created to support additional sittings</w:t>
      </w:r>
      <w:r w:rsidRPr="001D0795">
        <w:rPr>
          <w:rFonts w:ascii="Arial" w:hAnsi="Arial" w:cs="Arial"/>
        </w:rPr>
        <w:t xml:space="preserve"> by the end of September. </w:t>
      </w:r>
    </w:p>
    <w:p w14:paraId="687860C8" w14:textId="77777777" w:rsidR="00427DA2" w:rsidRPr="001D0795" w:rsidRDefault="00427DA2" w:rsidP="00B41E16">
      <w:pPr>
        <w:spacing w:after="120" w:line="360" w:lineRule="auto"/>
        <w:jc w:val="both"/>
        <w:rPr>
          <w:rFonts w:ascii="Arial" w:hAnsi="Arial" w:cs="Arial"/>
        </w:rPr>
      </w:pPr>
    </w:p>
    <w:p w14:paraId="2FE7B0F1" w14:textId="1D6D7C8D" w:rsidR="00F41FE8" w:rsidRDefault="00427DA2" w:rsidP="00B41E16">
      <w:pPr>
        <w:spacing w:after="120" w:line="360" w:lineRule="auto"/>
        <w:jc w:val="both"/>
        <w:rPr>
          <w:rFonts w:ascii="Arial" w:hAnsi="Arial" w:cs="Arial"/>
        </w:rPr>
      </w:pPr>
      <w:r w:rsidRPr="001D0795">
        <w:rPr>
          <w:rFonts w:ascii="Arial" w:hAnsi="Arial" w:cs="Arial"/>
        </w:rPr>
        <w:t xml:space="preserve">A query arose in relation to the impact of new legislation on the Courts Service and the challenge this presents to the Service. Ms Denning outlined the Regulatory </w:t>
      </w:r>
      <w:r w:rsidR="00F41FE8" w:rsidRPr="001D0795">
        <w:rPr>
          <w:rFonts w:ascii="Arial" w:hAnsi="Arial" w:cs="Arial"/>
        </w:rPr>
        <w:t>Impact</w:t>
      </w:r>
      <w:r w:rsidRPr="001D0795">
        <w:rPr>
          <w:rFonts w:ascii="Arial" w:hAnsi="Arial" w:cs="Arial"/>
        </w:rPr>
        <w:t xml:space="preserve"> Assessment </w:t>
      </w:r>
      <w:r w:rsidR="00F41FE8" w:rsidRPr="001D0795">
        <w:rPr>
          <w:rFonts w:ascii="Arial" w:hAnsi="Arial" w:cs="Arial"/>
        </w:rPr>
        <w:t xml:space="preserve">(RIA) </w:t>
      </w:r>
      <w:r w:rsidRPr="001D0795">
        <w:rPr>
          <w:rFonts w:ascii="Arial" w:hAnsi="Arial" w:cs="Arial"/>
        </w:rPr>
        <w:t xml:space="preserve">process in the Department of Justice that is not yet fully operational. Where consultation takes place, it is often too late in the process to provide meaningful observations. </w:t>
      </w:r>
      <w:r w:rsidR="00F41FE8" w:rsidRPr="001D0795">
        <w:rPr>
          <w:rFonts w:ascii="Arial" w:hAnsi="Arial" w:cs="Arial"/>
        </w:rPr>
        <w:t xml:space="preserve">Ms Woods outlined that quarterly meetings take place between the Department of Justice and the Office of the Director of Public Prosecutions in relation to forthcoming legislation and policy that may impact the Office. It was agreed that this approach is to be considered, but it was also highlighted that this will only assist in respect of legislation emanating from the Department of Justice. This item is to be placed on the agenda of the September meeting for consideration (Action </w:t>
      </w:r>
      <w:r w:rsidR="00ED6693" w:rsidRPr="001D0795">
        <w:rPr>
          <w:rFonts w:ascii="Arial" w:hAnsi="Arial" w:cs="Arial"/>
        </w:rPr>
        <w:t>23</w:t>
      </w:r>
      <w:r w:rsidR="00F41FE8" w:rsidRPr="001D0795">
        <w:rPr>
          <w:rFonts w:ascii="Arial" w:hAnsi="Arial" w:cs="Arial"/>
        </w:rPr>
        <w:t>/2024).</w:t>
      </w:r>
    </w:p>
    <w:p w14:paraId="6C3AD878" w14:textId="77777777" w:rsidR="00B12E93" w:rsidRDefault="00B12E93" w:rsidP="00B41E16">
      <w:pPr>
        <w:spacing w:after="120" w:line="360" w:lineRule="auto"/>
        <w:jc w:val="both"/>
        <w:rPr>
          <w:rFonts w:ascii="Arial" w:hAnsi="Arial" w:cs="Arial"/>
          <w:b/>
          <w:bCs/>
        </w:rPr>
      </w:pPr>
    </w:p>
    <w:p w14:paraId="0AD7C289" w14:textId="77777777" w:rsidR="00E12424" w:rsidRDefault="00E12424" w:rsidP="00630872">
      <w:pPr>
        <w:spacing w:after="120" w:line="360" w:lineRule="auto"/>
        <w:rPr>
          <w:rFonts w:ascii="Arial" w:hAnsi="Arial" w:cs="Arial"/>
          <w:b/>
          <w:bCs/>
        </w:rPr>
      </w:pPr>
    </w:p>
    <w:p w14:paraId="6F75301A" w14:textId="77777777" w:rsidR="00E12424" w:rsidRDefault="00E12424" w:rsidP="00630872">
      <w:pPr>
        <w:spacing w:after="120" w:line="360" w:lineRule="auto"/>
        <w:rPr>
          <w:rFonts w:ascii="Arial" w:hAnsi="Arial" w:cs="Arial"/>
          <w:b/>
          <w:bCs/>
        </w:rPr>
      </w:pPr>
    </w:p>
    <w:p w14:paraId="234AC62F" w14:textId="77777777" w:rsidR="00B41E16" w:rsidRDefault="00B41E16" w:rsidP="00630872">
      <w:pPr>
        <w:spacing w:after="120" w:line="360" w:lineRule="auto"/>
        <w:rPr>
          <w:rFonts w:ascii="Arial" w:hAnsi="Arial" w:cs="Arial"/>
          <w:b/>
          <w:bCs/>
        </w:rPr>
      </w:pPr>
    </w:p>
    <w:p w14:paraId="5E698A46" w14:textId="77777777" w:rsidR="00E12424" w:rsidRDefault="00E12424" w:rsidP="00630872">
      <w:pPr>
        <w:spacing w:after="120" w:line="360" w:lineRule="auto"/>
        <w:rPr>
          <w:rFonts w:ascii="Arial" w:hAnsi="Arial" w:cs="Arial"/>
          <w:b/>
          <w:bCs/>
        </w:rPr>
      </w:pPr>
    </w:p>
    <w:p w14:paraId="2CA453C5" w14:textId="725CED1B" w:rsidR="00F41FE8" w:rsidRPr="00F41FE8" w:rsidRDefault="00B12E93" w:rsidP="00996BD9">
      <w:pPr>
        <w:pStyle w:val="ListParagraph"/>
        <w:numPr>
          <w:ilvl w:val="0"/>
          <w:numId w:val="4"/>
        </w:numPr>
        <w:spacing w:after="120" w:line="360" w:lineRule="auto"/>
        <w:rPr>
          <w:rFonts w:ascii="Arial" w:hAnsi="Arial" w:cs="Arial"/>
          <w:b/>
          <w:bCs/>
        </w:rPr>
      </w:pPr>
      <w:bookmarkStart w:id="0" w:name="_Hlk135314207"/>
      <w:r w:rsidRPr="00B12E93">
        <w:rPr>
          <w:rFonts w:ascii="Arial" w:hAnsi="Arial" w:cs="Arial"/>
          <w:b/>
          <w:bCs/>
        </w:rPr>
        <w:t>Corporate Business Plan Update Q2</w:t>
      </w:r>
      <w:r>
        <w:rPr>
          <w:rFonts w:ascii="Arial" w:hAnsi="Arial" w:cs="Arial"/>
          <w:b/>
          <w:bCs/>
        </w:rPr>
        <w:t xml:space="preserve"> 2024</w:t>
      </w:r>
      <w:r w:rsidR="00D63913" w:rsidRPr="00B12E93">
        <w:rPr>
          <w:rFonts w:ascii="Arial" w:hAnsi="Arial" w:cs="Arial"/>
          <w:b/>
          <w:bCs/>
        </w:rPr>
        <w:t xml:space="preserve"> (Report CSB </w:t>
      </w:r>
      <w:r w:rsidRPr="00B12E93">
        <w:rPr>
          <w:rFonts w:ascii="Arial" w:hAnsi="Arial" w:cs="Arial"/>
          <w:b/>
          <w:bCs/>
        </w:rPr>
        <w:t>46/</w:t>
      </w:r>
      <w:r w:rsidR="00D63913" w:rsidRPr="00B12E93">
        <w:rPr>
          <w:rFonts w:ascii="Arial" w:hAnsi="Arial" w:cs="Arial"/>
          <w:b/>
          <w:bCs/>
        </w:rPr>
        <w:t>2024)</w:t>
      </w:r>
      <w:bookmarkEnd w:id="0"/>
    </w:p>
    <w:p w14:paraId="62CEEEDC" w14:textId="346926AA" w:rsidR="00053244" w:rsidRDefault="004314A6" w:rsidP="00B41E16">
      <w:pPr>
        <w:spacing w:after="120" w:line="360" w:lineRule="auto"/>
        <w:jc w:val="both"/>
        <w:rPr>
          <w:rFonts w:ascii="Arial" w:hAnsi="Arial" w:cs="Arial"/>
        </w:rPr>
      </w:pPr>
      <w:r w:rsidRPr="004314A6">
        <w:rPr>
          <w:rFonts w:ascii="Arial" w:hAnsi="Arial" w:cs="Arial"/>
        </w:rPr>
        <w:t xml:space="preserve">Ms. Angela Denning, </w:t>
      </w:r>
      <w:r w:rsidRPr="001D0795">
        <w:rPr>
          <w:rFonts w:ascii="Arial" w:hAnsi="Arial" w:cs="Arial"/>
        </w:rPr>
        <w:t>CEO, presented the Report as circulated.</w:t>
      </w:r>
      <w:r w:rsidR="00A31294" w:rsidRPr="001D0795">
        <w:rPr>
          <w:rFonts w:ascii="Arial" w:hAnsi="Arial" w:cs="Arial"/>
        </w:rPr>
        <w:t xml:space="preserve"> This report is </w:t>
      </w:r>
      <w:r w:rsidR="00053244" w:rsidRPr="001D0795">
        <w:rPr>
          <w:rFonts w:ascii="Arial" w:hAnsi="Arial" w:cs="Arial"/>
        </w:rPr>
        <w:t xml:space="preserve">to be colour coded </w:t>
      </w:r>
      <w:r w:rsidR="00A31294" w:rsidRPr="001D0795">
        <w:rPr>
          <w:rFonts w:ascii="Arial" w:hAnsi="Arial" w:cs="Arial"/>
        </w:rPr>
        <w:t xml:space="preserve">going forward (Action </w:t>
      </w:r>
      <w:r w:rsidR="00ED6693" w:rsidRPr="001D0795">
        <w:rPr>
          <w:rFonts w:ascii="Arial" w:hAnsi="Arial" w:cs="Arial"/>
        </w:rPr>
        <w:t>24</w:t>
      </w:r>
      <w:r w:rsidR="00A31294" w:rsidRPr="001D0795">
        <w:rPr>
          <w:rFonts w:ascii="Arial" w:hAnsi="Arial" w:cs="Arial"/>
        </w:rPr>
        <w:t>/2024). Ms Denning highlighted that in relation to the Marriage Exemption form and standardised process, this is a quarter behind.</w:t>
      </w:r>
      <w:r w:rsidR="00A31294" w:rsidRPr="001D0795">
        <w:t xml:space="preserve"> </w:t>
      </w:r>
      <w:r w:rsidR="00A31294" w:rsidRPr="001D0795">
        <w:rPr>
          <w:rFonts w:ascii="Arial" w:hAnsi="Arial" w:cs="Arial"/>
        </w:rPr>
        <w:t xml:space="preserve">Feedback has been received from the Circuit Court Rules Committee received and the form has been re-designed and will be presented at an upcoming Rules Committee meeting. In relation to recruitment of Judicial Assistants (Goal 2- Support the Judiciary), applicants for the role are currently going through selection process. Unfortunately progress in staffing hindered by budget for </w:t>
      </w:r>
      <w:r w:rsidR="000245B5" w:rsidRPr="001D0795">
        <w:rPr>
          <w:rFonts w:ascii="Arial" w:hAnsi="Arial" w:cs="Arial"/>
        </w:rPr>
        <w:t>2024.</w:t>
      </w:r>
    </w:p>
    <w:p w14:paraId="38BE53EF" w14:textId="674DC2CE" w:rsidR="00A31294" w:rsidRDefault="00A31294" w:rsidP="00B41E16">
      <w:pPr>
        <w:spacing w:after="120" w:line="360" w:lineRule="auto"/>
        <w:jc w:val="both"/>
        <w:rPr>
          <w:rFonts w:ascii="Arial" w:hAnsi="Arial" w:cs="Arial"/>
        </w:rPr>
      </w:pPr>
      <w:r>
        <w:rPr>
          <w:rFonts w:ascii="Arial" w:hAnsi="Arial" w:cs="Arial"/>
        </w:rPr>
        <w:t xml:space="preserve">In relation to Goal 3, Ms Denning highlighted that </w:t>
      </w:r>
      <w:r w:rsidRPr="00A31294">
        <w:rPr>
          <w:rFonts w:ascii="Arial" w:hAnsi="Arial" w:cs="Arial"/>
        </w:rPr>
        <w:t xml:space="preserve">UCMS Family </w:t>
      </w:r>
      <w:r>
        <w:rPr>
          <w:rFonts w:ascii="Arial" w:hAnsi="Arial" w:cs="Arial"/>
        </w:rPr>
        <w:t xml:space="preserve">was </w:t>
      </w:r>
      <w:r w:rsidRPr="00A31294">
        <w:rPr>
          <w:rFonts w:ascii="Arial" w:hAnsi="Arial" w:cs="Arial"/>
        </w:rPr>
        <w:t xml:space="preserve">successfully rolled out to Portlaoise, Cavan, Cork, Longford, </w:t>
      </w:r>
      <w:proofErr w:type="gramStart"/>
      <w:r w:rsidRPr="00A31294">
        <w:rPr>
          <w:rFonts w:ascii="Arial" w:hAnsi="Arial" w:cs="Arial"/>
        </w:rPr>
        <w:t>Tullamore</w:t>
      </w:r>
      <w:proofErr w:type="gramEnd"/>
      <w:r w:rsidRPr="00A31294">
        <w:rPr>
          <w:rFonts w:ascii="Arial" w:hAnsi="Arial" w:cs="Arial"/>
        </w:rPr>
        <w:t xml:space="preserve"> and Mullingar Circuit offices by the end of the Q1, with significant training and supports for staff in place.  Rollouts are to continu</w:t>
      </w:r>
      <w:r>
        <w:rPr>
          <w:rFonts w:ascii="Arial" w:hAnsi="Arial" w:cs="Arial"/>
        </w:rPr>
        <w:t>ing</w:t>
      </w:r>
      <w:r w:rsidRPr="00A31294">
        <w:rPr>
          <w:rFonts w:ascii="Arial" w:hAnsi="Arial" w:cs="Arial"/>
        </w:rPr>
        <w:t xml:space="preserve"> in Q2 and Q3.</w:t>
      </w:r>
      <w:r>
        <w:rPr>
          <w:rFonts w:ascii="Arial" w:hAnsi="Arial" w:cs="Arial"/>
        </w:rPr>
        <w:t xml:space="preserve"> The d</w:t>
      </w:r>
      <w:r w:rsidRPr="00A31294">
        <w:rPr>
          <w:rFonts w:ascii="Arial" w:hAnsi="Arial" w:cs="Arial"/>
        </w:rPr>
        <w:t>eliver</w:t>
      </w:r>
      <w:r>
        <w:rPr>
          <w:rFonts w:ascii="Arial" w:hAnsi="Arial" w:cs="Arial"/>
        </w:rPr>
        <w:t>y of</w:t>
      </w:r>
      <w:r w:rsidRPr="00A31294">
        <w:rPr>
          <w:rFonts w:ascii="Arial" w:hAnsi="Arial" w:cs="Arial"/>
        </w:rPr>
        <w:t xml:space="preserve"> phase 1 of a new public facing portal supporting </w:t>
      </w:r>
      <w:proofErr w:type="spellStart"/>
      <w:r w:rsidRPr="00A31294">
        <w:rPr>
          <w:rFonts w:ascii="Arial" w:hAnsi="Arial" w:cs="Arial"/>
        </w:rPr>
        <w:t>eFiling</w:t>
      </w:r>
      <w:proofErr w:type="spellEnd"/>
      <w:r w:rsidRPr="00A31294">
        <w:rPr>
          <w:rFonts w:ascii="Arial" w:hAnsi="Arial" w:cs="Arial"/>
        </w:rPr>
        <w:t xml:space="preserve"> </w:t>
      </w:r>
      <w:r>
        <w:rPr>
          <w:rFonts w:ascii="Arial" w:hAnsi="Arial" w:cs="Arial"/>
        </w:rPr>
        <w:t xml:space="preserve">is underway. </w:t>
      </w:r>
      <w:r w:rsidRPr="00A31294">
        <w:rPr>
          <w:rFonts w:ascii="Arial" w:hAnsi="Arial" w:cs="Arial"/>
        </w:rPr>
        <w:t xml:space="preserve">Consultation with legal practitioners, members of the judiciary and staff is ongoing in the design of the portal. The plan is to pilot launch the portal </w:t>
      </w:r>
      <w:proofErr w:type="gramStart"/>
      <w:r w:rsidRPr="00A31294">
        <w:rPr>
          <w:rFonts w:ascii="Arial" w:hAnsi="Arial" w:cs="Arial"/>
        </w:rPr>
        <w:t>in the area of</w:t>
      </w:r>
      <w:proofErr w:type="gramEnd"/>
      <w:r w:rsidRPr="00A31294">
        <w:rPr>
          <w:rFonts w:ascii="Arial" w:hAnsi="Arial" w:cs="Arial"/>
        </w:rPr>
        <w:t xml:space="preserve"> Divorce </w:t>
      </w:r>
      <w:r>
        <w:rPr>
          <w:rFonts w:ascii="Arial" w:hAnsi="Arial" w:cs="Arial"/>
        </w:rPr>
        <w:t xml:space="preserve">in the Circuit Court </w:t>
      </w:r>
      <w:r w:rsidRPr="00A31294">
        <w:rPr>
          <w:rFonts w:ascii="Arial" w:hAnsi="Arial" w:cs="Arial"/>
        </w:rPr>
        <w:t>in Q2 and to iterate the design based on feedback, and then expand to other case types.</w:t>
      </w:r>
      <w:r>
        <w:rPr>
          <w:rFonts w:ascii="Arial" w:hAnsi="Arial" w:cs="Arial"/>
        </w:rPr>
        <w:t xml:space="preserve"> The Legal Aid Board in Cavan and a firm in Cavan are participating in the pi</w:t>
      </w:r>
      <w:r w:rsidR="002903A2">
        <w:rPr>
          <w:rFonts w:ascii="Arial" w:hAnsi="Arial" w:cs="Arial"/>
        </w:rPr>
        <w:t xml:space="preserve">lot. </w:t>
      </w:r>
    </w:p>
    <w:p w14:paraId="7F1E708A" w14:textId="6C641047" w:rsidR="00053244" w:rsidRDefault="002903A2" w:rsidP="00B41E16">
      <w:pPr>
        <w:spacing w:after="120" w:line="360" w:lineRule="auto"/>
        <w:jc w:val="both"/>
        <w:rPr>
          <w:rFonts w:ascii="Arial" w:hAnsi="Arial" w:cs="Arial"/>
        </w:rPr>
      </w:pPr>
      <w:r>
        <w:rPr>
          <w:rFonts w:ascii="Arial" w:hAnsi="Arial" w:cs="Arial"/>
        </w:rPr>
        <w:t xml:space="preserve">In relation to Goal 4 “Better ways of working”, two </w:t>
      </w:r>
      <w:r w:rsidR="00053244">
        <w:rPr>
          <w:rFonts w:ascii="Arial" w:hAnsi="Arial" w:cs="Arial"/>
        </w:rPr>
        <w:t>employee experience conferences</w:t>
      </w:r>
      <w:r>
        <w:rPr>
          <w:rFonts w:ascii="Arial" w:hAnsi="Arial" w:cs="Arial"/>
        </w:rPr>
        <w:t xml:space="preserve"> were held in the quarter. </w:t>
      </w:r>
      <w:r w:rsidR="00BC15D3">
        <w:rPr>
          <w:rFonts w:ascii="Arial" w:hAnsi="Arial" w:cs="Arial"/>
        </w:rPr>
        <w:t>Executive</w:t>
      </w:r>
      <w:r>
        <w:rPr>
          <w:rFonts w:ascii="Arial" w:hAnsi="Arial" w:cs="Arial"/>
        </w:rPr>
        <w:t xml:space="preserve"> Officers in Court Offices (many of whom are District Court clerks) were invited to sessions </w:t>
      </w:r>
      <w:r w:rsidR="00D71845">
        <w:rPr>
          <w:rFonts w:ascii="Arial" w:hAnsi="Arial" w:cs="Arial"/>
        </w:rPr>
        <w:t xml:space="preserve">in </w:t>
      </w:r>
      <w:r w:rsidR="00053244">
        <w:rPr>
          <w:rFonts w:ascii="Arial" w:hAnsi="Arial" w:cs="Arial"/>
        </w:rPr>
        <w:t>Portlaoise and Mullingar</w:t>
      </w:r>
      <w:r>
        <w:rPr>
          <w:rFonts w:ascii="Arial" w:hAnsi="Arial" w:cs="Arial"/>
        </w:rPr>
        <w:t xml:space="preserve"> where they discussed and raised issues relevant to their roles, including </w:t>
      </w:r>
      <w:r w:rsidR="00053244">
        <w:rPr>
          <w:rFonts w:ascii="Arial" w:hAnsi="Arial" w:cs="Arial"/>
        </w:rPr>
        <w:t>recruitment, retention</w:t>
      </w:r>
      <w:r>
        <w:rPr>
          <w:rFonts w:ascii="Arial" w:hAnsi="Arial" w:cs="Arial"/>
        </w:rPr>
        <w:t xml:space="preserve"> of staff and </w:t>
      </w:r>
      <w:r w:rsidR="00053244">
        <w:rPr>
          <w:rFonts w:ascii="Arial" w:hAnsi="Arial" w:cs="Arial"/>
        </w:rPr>
        <w:t xml:space="preserve">training. </w:t>
      </w:r>
      <w:r>
        <w:rPr>
          <w:rFonts w:ascii="Arial" w:hAnsi="Arial" w:cs="Arial"/>
        </w:rPr>
        <w:t xml:space="preserve">The feedback will be used </w:t>
      </w:r>
      <w:r w:rsidRPr="002903A2">
        <w:rPr>
          <w:rFonts w:ascii="Arial" w:hAnsi="Arial" w:cs="Arial"/>
        </w:rPr>
        <w:t xml:space="preserve">to determine interventions required to retain frontline staff.  </w:t>
      </w:r>
    </w:p>
    <w:p w14:paraId="0FFF4A73" w14:textId="77777777" w:rsidR="00B12E93" w:rsidRDefault="00B12E93" w:rsidP="00B12E93">
      <w:pPr>
        <w:spacing w:after="120" w:line="360" w:lineRule="auto"/>
        <w:rPr>
          <w:rFonts w:ascii="Arial" w:hAnsi="Arial" w:cs="Arial"/>
        </w:rPr>
      </w:pPr>
    </w:p>
    <w:p w14:paraId="46B2D39E" w14:textId="7F206931" w:rsidR="008562CA" w:rsidRPr="00E209A0" w:rsidRDefault="00E209A0" w:rsidP="00E209A0">
      <w:pPr>
        <w:pStyle w:val="ListParagraph"/>
        <w:numPr>
          <w:ilvl w:val="0"/>
          <w:numId w:val="9"/>
        </w:numPr>
        <w:spacing w:after="120"/>
        <w:ind w:left="426"/>
        <w:rPr>
          <w:rFonts w:ascii="Arial" w:hAnsi="Arial" w:cs="Arial"/>
          <w:b/>
          <w:bCs/>
          <w:sz w:val="20"/>
          <w:szCs w:val="20"/>
        </w:rPr>
      </w:pPr>
      <w:r>
        <w:rPr>
          <w:rFonts w:ascii="Arial" w:hAnsi="Arial" w:cs="Arial"/>
          <w:b/>
          <w:bCs/>
        </w:rPr>
        <w:t xml:space="preserve"> </w:t>
      </w:r>
      <w:r w:rsidR="00B12E93" w:rsidRPr="00E209A0">
        <w:rPr>
          <w:rFonts w:ascii="Arial" w:hAnsi="Arial" w:cs="Arial"/>
          <w:b/>
          <w:bCs/>
        </w:rPr>
        <w:t>Corporate Risk Register Q2 2024</w:t>
      </w:r>
      <w:r w:rsidR="008562CA" w:rsidRPr="00E209A0">
        <w:rPr>
          <w:rFonts w:ascii="Arial" w:hAnsi="Arial" w:cs="Arial"/>
          <w:b/>
          <w:bCs/>
        </w:rPr>
        <w:t xml:space="preserve"> (Report CSB 3</w:t>
      </w:r>
      <w:r w:rsidR="00B12E93" w:rsidRPr="00E209A0">
        <w:rPr>
          <w:rFonts w:ascii="Arial" w:hAnsi="Arial" w:cs="Arial"/>
          <w:b/>
          <w:bCs/>
        </w:rPr>
        <w:t>8</w:t>
      </w:r>
      <w:r w:rsidR="008562CA" w:rsidRPr="00E209A0">
        <w:rPr>
          <w:rFonts w:ascii="Arial" w:hAnsi="Arial" w:cs="Arial"/>
          <w:b/>
          <w:bCs/>
        </w:rPr>
        <w:t>/2024)</w:t>
      </w:r>
      <w:r w:rsidR="008562CA" w:rsidRPr="00E209A0">
        <w:rPr>
          <w:rFonts w:ascii="Arial" w:hAnsi="Arial" w:cs="Arial"/>
          <w:b/>
          <w:bCs/>
          <w:sz w:val="20"/>
          <w:szCs w:val="20"/>
        </w:rPr>
        <w:t xml:space="preserve"> </w:t>
      </w:r>
    </w:p>
    <w:p w14:paraId="308906A4" w14:textId="77777777" w:rsidR="006B6958" w:rsidRPr="006B6958" w:rsidRDefault="006B6958" w:rsidP="006B6958">
      <w:pPr>
        <w:pStyle w:val="ListParagraph"/>
        <w:spacing w:after="120"/>
        <w:rPr>
          <w:rFonts w:ascii="Arial" w:hAnsi="Arial" w:cs="Arial"/>
          <w:b/>
          <w:bCs/>
          <w:sz w:val="20"/>
          <w:szCs w:val="20"/>
        </w:rPr>
      </w:pPr>
    </w:p>
    <w:p w14:paraId="2653C0B2" w14:textId="118541E3" w:rsidR="0010633D" w:rsidRPr="001D0795" w:rsidRDefault="008562CA" w:rsidP="00B41E16">
      <w:pPr>
        <w:spacing w:after="120" w:line="360" w:lineRule="auto"/>
        <w:jc w:val="both"/>
        <w:rPr>
          <w:rFonts w:ascii="Arial" w:hAnsi="Arial" w:cs="Arial"/>
        </w:rPr>
      </w:pPr>
      <w:r w:rsidRPr="001D0795">
        <w:rPr>
          <w:rFonts w:ascii="Arial" w:hAnsi="Arial" w:cs="Arial"/>
        </w:rPr>
        <w:t xml:space="preserve">Ms. </w:t>
      </w:r>
      <w:r w:rsidR="00B12E93" w:rsidRPr="001D0795">
        <w:rPr>
          <w:rFonts w:ascii="Arial" w:hAnsi="Arial" w:cs="Arial"/>
        </w:rPr>
        <w:t>John Cleere</w:t>
      </w:r>
      <w:r w:rsidRPr="001D0795">
        <w:rPr>
          <w:rFonts w:ascii="Arial" w:hAnsi="Arial" w:cs="Arial"/>
        </w:rPr>
        <w:t>, presented the Report as circulated</w:t>
      </w:r>
      <w:r w:rsidR="002D31DE" w:rsidRPr="001D0795">
        <w:rPr>
          <w:rFonts w:ascii="Arial" w:hAnsi="Arial" w:cs="Arial"/>
        </w:rPr>
        <w:t xml:space="preserve"> highlighting the following:</w:t>
      </w:r>
      <w:r w:rsidR="00253561" w:rsidRPr="001D0795">
        <w:rPr>
          <w:rFonts w:ascii="Arial" w:hAnsi="Arial" w:cs="Arial"/>
        </w:rPr>
        <w:t xml:space="preserve"> </w:t>
      </w:r>
    </w:p>
    <w:p w14:paraId="44CE9AD6" w14:textId="3D9C983C" w:rsidR="006B6958" w:rsidRPr="001D0795" w:rsidRDefault="006B6958" w:rsidP="00B41E16">
      <w:pPr>
        <w:spacing w:after="120" w:line="360" w:lineRule="auto"/>
        <w:jc w:val="both"/>
        <w:rPr>
          <w:rFonts w:ascii="Arial" w:hAnsi="Arial" w:cs="Arial"/>
          <w:lang w:val="en-IE"/>
        </w:rPr>
      </w:pPr>
      <w:r w:rsidRPr="001D0795">
        <w:rPr>
          <w:rFonts w:ascii="Arial" w:hAnsi="Arial" w:cs="Arial"/>
          <w:lang w:val="en-US"/>
        </w:rPr>
        <w:t xml:space="preserve">There are 19 risks -11 High (58%) and 8 Medium. 2 High risks ratings have been increased in to date this year. This risk of achieving a balanced Budget in 2024 rose to 20 in Q1 and the JPWG resource risk has risen from 20 to 25 in Q2. </w:t>
      </w:r>
    </w:p>
    <w:p w14:paraId="4FC117B5" w14:textId="111B8C51" w:rsidR="00A1047C" w:rsidRPr="001D0795" w:rsidRDefault="00A1047C" w:rsidP="00B41E16">
      <w:pPr>
        <w:spacing w:after="120" w:line="360" w:lineRule="auto"/>
        <w:jc w:val="both"/>
        <w:rPr>
          <w:rFonts w:ascii="Arial" w:hAnsi="Arial" w:cs="Arial"/>
        </w:rPr>
      </w:pPr>
      <w:r w:rsidRPr="001D0795">
        <w:rPr>
          <w:rFonts w:ascii="Arial" w:hAnsi="Arial" w:cs="Arial"/>
        </w:rPr>
        <w:t>An</w:t>
      </w:r>
      <w:r w:rsidR="00C51859" w:rsidRPr="001D0795">
        <w:rPr>
          <w:rFonts w:ascii="Arial" w:hAnsi="Arial" w:cs="Arial"/>
        </w:rPr>
        <w:t xml:space="preserve"> external review </w:t>
      </w:r>
      <w:r w:rsidR="002903A2" w:rsidRPr="001D0795">
        <w:rPr>
          <w:rFonts w:ascii="Arial" w:hAnsi="Arial" w:cs="Arial"/>
        </w:rPr>
        <w:t>of the Courts Service Risk Management</w:t>
      </w:r>
      <w:r w:rsidRPr="001D0795">
        <w:rPr>
          <w:rFonts w:ascii="Arial" w:hAnsi="Arial" w:cs="Arial"/>
        </w:rPr>
        <w:t xml:space="preserve"> has taken place</w:t>
      </w:r>
      <w:r w:rsidR="002903A2" w:rsidRPr="001D0795">
        <w:rPr>
          <w:rFonts w:ascii="Arial" w:hAnsi="Arial" w:cs="Arial"/>
        </w:rPr>
        <w:t xml:space="preserve">. This review </w:t>
      </w:r>
      <w:r w:rsidR="00C51859" w:rsidRPr="001D0795">
        <w:rPr>
          <w:rFonts w:ascii="Arial" w:hAnsi="Arial" w:cs="Arial"/>
        </w:rPr>
        <w:t xml:space="preserve">may </w:t>
      </w:r>
      <w:r w:rsidR="002903A2" w:rsidRPr="001D0795">
        <w:rPr>
          <w:rFonts w:ascii="Arial" w:hAnsi="Arial" w:cs="Arial"/>
        </w:rPr>
        <w:t xml:space="preserve">result in </w:t>
      </w:r>
      <w:r w:rsidR="00C51859" w:rsidRPr="001D0795">
        <w:rPr>
          <w:rFonts w:ascii="Arial" w:hAnsi="Arial" w:cs="Arial"/>
        </w:rPr>
        <w:t>recommendations</w:t>
      </w:r>
      <w:r w:rsidR="002903A2" w:rsidRPr="001D0795">
        <w:rPr>
          <w:rFonts w:ascii="Arial" w:hAnsi="Arial" w:cs="Arial"/>
        </w:rPr>
        <w:t xml:space="preserve"> that require the Corporate Risk Register to be updated</w:t>
      </w:r>
      <w:r w:rsidRPr="001D0795">
        <w:rPr>
          <w:rFonts w:ascii="Arial" w:hAnsi="Arial" w:cs="Arial"/>
        </w:rPr>
        <w:t xml:space="preserve"> in Q3</w:t>
      </w:r>
      <w:r w:rsidR="00C51859" w:rsidRPr="001D0795">
        <w:rPr>
          <w:rFonts w:ascii="Arial" w:hAnsi="Arial" w:cs="Arial"/>
        </w:rPr>
        <w:t xml:space="preserve">. </w:t>
      </w:r>
      <w:r w:rsidR="002903A2" w:rsidRPr="001D0795">
        <w:rPr>
          <w:rFonts w:ascii="Arial" w:hAnsi="Arial" w:cs="Arial"/>
        </w:rPr>
        <w:t xml:space="preserve">Mr Cleere highlighted that the </w:t>
      </w:r>
      <w:r w:rsidRPr="001D0795">
        <w:rPr>
          <w:rFonts w:ascii="Arial" w:hAnsi="Arial" w:cs="Arial"/>
        </w:rPr>
        <w:t>Corporate</w:t>
      </w:r>
      <w:r w:rsidR="002903A2" w:rsidRPr="001D0795">
        <w:rPr>
          <w:rFonts w:ascii="Arial" w:hAnsi="Arial" w:cs="Arial"/>
        </w:rPr>
        <w:t xml:space="preserve"> Risk Registrar cascades to directorates, and the directorate risk registers should be presented to the Audit and Risk Committee. These have fallen behind in </w:t>
      </w:r>
      <w:r w:rsidRPr="001D0795">
        <w:rPr>
          <w:rFonts w:ascii="Arial" w:hAnsi="Arial" w:cs="Arial"/>
        </w:rPr>
        <w:t>2024 but</w:t>
      </w:r>
      <w:r w:rsidR="00C51859" w:rsidRPr="001D0795">
        <w:rPr>
          <w:rFonts w:ascii="Arial" w:hAnsi="Arial" w:cs="Arial"/>
        </w:rPr>
        <w:t xml:space="preserve"> will need to be addressed at the next </w:t>
      </w:r>
      <w:r w:rsidRPr="001D0795">
        <w:rPr>
          <w:rFonts w:ascii="Arial" w:hAnsi="Arial" w:cs="Arial"/>
        </w:rPr>
        <w:t xml:space="preserve">Committee </w:t>
      </w:r>
      <w:r w:rsidR="00C51859" w:rsidRPr="001D0795">
        <w:rPr>
          <w:rFonts w:ascii="Arial" w:hAnsi="Arial" w:cs="Arial"/>
        </w:rPr>
        <w:t>meeting.</w:t>
      </w:r>
    </w:p>
    <w:p w14:paraId="04AA2563" w14:textId="77777777" w:rsidR="00A1047C" w:rsidRDefault="00A1047C" w:rsidP="00253561">
      <w:pPr>
        <w:spacing w:after="120" w:line="360" w:lineRule="auto"/>
        <w:rPr>
          <w:rFonts w:ascii="Arial" w:hAnsi="Arial" w:cs="Arial"/>
        </w:rPr>
      </w:pPr>
    </w:p>
    <w:p w14:paraId="4C3D054E" w14:textId="77777777" w:rsidR="00E12424" w:rsidRDefault="00E12424" w:rsidP="00253561">
      <w:pPr>
        <w:spacing w:after="120" w:line="360" w:lineRule="auto"/>
        <w:rPr>
          <w:rFonts w:ascii="Arial" w:hAnsi="Arial" w:cs="Arial"/>
        </w:rPr>
      </w:pPr>
    </w:p>
    <w:p w14:paraId="6860CB0E" w14:textId="77777777" w:rsidR="00E12424" w:rsidRDefault="00E12424" w:rsidP="00253561">
      <w:pPr>
        <w:spacing w:after="120" w:line="360" w:lineRule="auto"/>
        <w:rPr>
          <w:rFonts w:ascii="Arial" w:hAnsi="Arial" w:cs="Arial"/>
        </w:rPr>
      </w:pPr>
    </w:p>
    <w:p w14:paraId="06CD3E3F" w14:textId="77777777" w:rsidR="00E12424" w:rsidRDefault="00E12424" w:rsidP="00253561">
      <w:pPr>
        <w:spacing w:after="120" w:line="360" w:lineRule="auto"/>
        <w:rPr>
          <w:rFonts w:ascii="Arial" w:hAnsi="Arial" w:cs="Arial"/>
        </w:rPr>
      </w:pPr>
    </w:p>
    <w:p w14:paraId="04CF9E9A" w14:textId="77777777" w:rsidR="00B41E16" w:rsidRDefault="00B41E16" w:rsidP="00253561">
      <w:pPr>
        <w:spacing w:after="120" w:line="360" w:lineRule="auto"/>
        <w:rPr>
          <w:rFonts w:ascii="Arial" w:hAnsi="Arial" w:cs="Arial"/>
        </w:rPr>
      </w:pPr>
    </w:p>
    <w:p w14:paraId="1CFEE80D" w14:textId="20628D84" w:rsidR="00B12E93" w:rsidRPr="002653B2" w:rsidRDefault="00B12E93" w:rsidP="006D4C0A">
      <w:pPr>
        <w:rPr>
          <w:rFonts w:ascii="Arial" w:hAnsi="Arial" w:cs="Arial"/>
          <w:b/>
          <w:bCs/>
        </w:rPr>
      </w:pPr>
      <w:r w:rsidRPr="009C79F0">
        <w:rPr>
          <w:rFonts w:ascii="Arial" w:hAnsi="Arial" w:cs="Arial"/>
          <w:b/>
          <w:bCs/>
        </w:rPr>
        <w:t>5</w:t>
      </w:r>
      <w:r w:rsidRPr="009C79F0">
        <w:rPr>
          <w:rFonts w:ascii="Arial" w:hAnsi="Arial" w:cs="Arial"/>
        </w:rPr>
        <w:t>.</w:t>
      </w:r>
      <w:r w:rsidRPr="00B12E93">
        <w:tab/>
      </w:r>
      <w:r w:rsidRPr="002653B2">
        <w:rPr>
          <w:rFonts w:ascii="Arial" w:hAnsi="Arial" w:cs="Arial"/>
          <w:b/>
          <w:bCs/>
        </w:rPr>
        <w:t>Financial Position Q2 2024 (Report CSB39/2024)</w:t>
      </w:r>
    </w:p>
    <w:p w14:paraId="72EDAB71" w14:textId="780B57E8" w:rsidR="006D4C0A" w:rsidRPr="001D0795" w:rsidRDefault="00B12E93" w:rsidP="00B41E16">
      <w:pPr>
        <w:spacing w:after="120" w:line="360" w:lineRule="auto"/>
        <w:jc w:val="both"/>
        <w:rPr>
          <w:rFonts w:ascii="Arial" w:hAnsi="Arial" w:cs="Arial"/>
        </w:rPr>
      </w:pPr>
      <w:r w:rsidRPr="006D4C0A">
        <w:rPr>
          <w:rFonts w:ascii="Arial" w:hAnsi="Arial" w:cs="Arial"/>
        </w:rPr>
        <w:t xml:space="preserve">Ms. John Cleere, presented the Report as circulated highlighting the following: </w:t>
      </w:r>
    </w:p>
    <w:p w14:paraId="63419C8E" w14:textId="6638536B" w:rsidR="00A1047C" w:rsidRPr="006D4C0A" w:rsidRDefault="006B6958" w:rsidP="00B41E16">
      <w:pPr>
        <w:spacing w:after="120" w:line="360" w:lineRule="auto"/>
        <w:jc w:val="both"/>
        <w:rPr>
          <w:rFonts w:ascii="Arial" w:hAnsi="Arial" w:cs="Arial"/>
          <w:color w:val="231F20"/>
        </w:rPr>
      </w:pPr>
      <w:r w:rsidRPr="006D4C0A">
        <w:rPr>
          <w:rFonts w:ascii="Arial" w:hAnsi="Arial" w:cs="Arial"/>
          <w:color w:val="231F20"/>
        </w:rPr>
        <w:t>The Finance Unit has compiled the Financial Outturn to 31</w:t>
      </w:r>
      <w:r w:rsidRPr="006D4C0A">
        <w:rPr>
          <w:rFonts w:ascii="Arial" w:hAnsi="Arial" w:cs="Arial"/>
          <w:color w:val="231F20"/>
          <w:vertAlign w:val="superscript"/>
        </w:rPr>
        <w:t>st</w:t>
      </w:r>
      <w:r w:rsidRPr="006D4C0A">
        <w:rPr>
          <w:rFonts w:ascii="Arial" w:hAnsi="Arial" w:cs="Arial"/>
          <w:color w:val="231F20"/>
        </w:rPr>
        <w:t xml:space="preserve"> May and included an update on the Modernisation Programme and the Q1 Courts Funds report to the Investment Committee. </w:t>
      </w:r>
    </w:p>
    <w:p w14:paraId="2E19F312" w14:textId="19E51EB1" w:rsidR="006D4C0A" w:rsidRDefault="006B6958" w:rsidP="00B41E16">
      <w:pPr>
        <w:spacing w:after="120" w:line="360" w:lineRule="auto"/>
        <w:jc w:val="both"/>
        <w:rPr>
          <w:rFonts w:ascii="Arial" w:hAnsi="Arial" w:cs="Arial"/>
          <w:color w:val="231F20"/>
        </w:rPr>
      </w:pPr>
      <w:r w:rsidRPr="006D4C0A">
        <w:rPr>
          <w:rFonts w:ascii="Arial" w:hAnsi="Arial" w:cs="Arial"/>
          <w:color w:val="231F20"/>
        </w:rPr>
        <w:t>The Financial Outturn shows that at the 31</w:t>
      </w:r>
      <w:r w:rsidRPr="006D4C0A">
        <w:rPr>
          <w:rFonts w:ascii="Arial" w:hAnsi="Arial" w:cs="Arial"/>
          <w:color w:val="231F20"/>
          <w:vertAlign w:val="superscript"/>
        </w:rPr>
        <w:t>st</w:t>
      </w:r>
      <w:r w:rsidRPr="006D4C0A">
        <w:rPr>
          <w:rFonts w:ascii="Arial" w:hAnsi="Arial" w:cs="Arial"/>
          <w:color w:val="231F20"/>
        </w:rPr>
        <w:t xml:space="preserve"> May the Courts Service Pay was overspent when compared to the Q2 Budget by €0.531m and </w:t>
      </w:r>
      <w:proofErr w:type="gramStart"/>
      <w:r w:rsidRPr="006D4C0A">
        <w:rPr>
          <w:rFonts w:ascii="Arial" w:hAnsi="Arial" w:cs="Arial"/>
          <w:color w:val="231F20"/>
        </w:rPr>
        <w:t>Non-Pay</w:t>
      </w:r>
      <w:proofErr w:type="gramEnd"/>
      <w:r w:rsidRPr="006D4C0A">
        <w:rPr>
          <w:rFonts w:ascii="Arial" w:hAnsi="Arial" w:cs="Arial"/>
          <w:color w:val="231F20"/>
        </w:rPr>
        <w:t xml:space="preserve"> was overspent by €0.927m. Capital was under spent by €3.043m and Appropriations in Aid (A-in-A) were in excess of Budget year to date by €0.560m. </w:t>
      </w:r>
    </w:p>
    <w:p w14:paraId="73C3CF0F" w14:textId="772334F5" w:rsidR="006D4C0A" w:rsidRPr="001D0795" w:rsidRDefault="006B6958" w:rsidP="00B41E16">
      <w:pPr>
        <w:spacing w:after="120" w:line="360" w:lineRule="auto"/>
        <w:jc w:val="both"/>
        <w:rPr>
          <w:rFonts w:ascii="Arial" w:hAnsi="Arial" w:cs="Arial"/>
          <w:color w:val="231F20"/>
        </w:rPr>
      </w:pPr>
      <w:r w:rsidRPr="006D4C0A">
        <w:rPr>
          <w:rFonts w:ascii="Arial" w:hAnsi="Arial" w:cs="Arial"/>
          <w:color w:val="231F20"/>
        </w:rPr>
        <w:t xml:space="preserve">This results in an Expenditure Net of Income of €54.213m compared to a Budget of €56.358m giving a Net underspend of €2.145m. It is expected that Capital will be in line with budget allocation when all invoices are processed, and A-in-A receipts will increase as two </w:t>
      </w:r>
      <w:r w:rsidR="001F0E71" w:rsidRPr="006D4C0A">
        <w:rPr>
          <w:rFonts w:ascii="Arial" w:hAnsi="Arial" w:cs="Arial"/>
          <w:color w:val="231F20"/>
        </w:rPr>
        <w:t>lodgements</w:t>
      </w:r>
      <w:r w:rsidRPr="006D4C0A">
        <w:rPr>
          <w:rFonts w:ascii="Arial" w:hAnsi="Arial" w:cs="Arial"/>
          <w:color w:val="231F20"/>
        </w:rPr>
        <w:t xml:space="preserve"> did not process on time for the May cut off. This will bring results in line with our earlier Budgetary review.</w:t>
      </w:r>
    </w:p>
    <w:p w14:paraId="7B9D27D0" w14:textId="2CA25C29" w:rsidR="006D4C0A" w:rsidRPr="006D4C0A" w:rsidRDefault="006B6958" w:rsidP="00B41E16">
      <w:pPr>
        <w:spacing w:after="120" w:line="360" w:lineRule="auto"/>
        <w:jc w:val="both"/>
        <w:rPr>
          <w:rFonts w:ascii="Arial" w:hAnsi="Arial" w:cs="Arial"/>
        </w:rPr>
      </w:pPr>
      <w:r w:rsidRPr="006D4C0A">
        <w:rPr>
          <w:rFonts w:ascii="Arial" w:hAnsi="Arial" w:cs="Arial"/>
        </w:rPr>
        <w:t>The report contains a narrative on the modernisation programme noting that 21 of 39 projects are complete. The programme is progressing well, with the “Transformation” phase due to finish by the end of 2025.</w:t>
      </w:r>
    </w:p>
    <w:p w14:paraId="22E478C9" w14:textId="6BB654ED" w:rsidR="00A1047C" w:rsidRDefault="006B6958" w:rsidP="00B41E16">
      <w:pPr>
        <w:spacing w:after="120" w:line="360" w:lineRule="auto"/>
        <w:jc w:val="both"/>
        <w:rPr>
          <w:rFonts w:ascii="Arial" w:hAnsi="Arial" w:cs="Arial"/>
        </w:rPr>
      </w:pPr>
      <w:r w:rsidRPr="006D4C0A">
        <w:rPr>
          <w:rFonts w:ascii="Arial" w:hAnsi="Arial" w:cs="Arial"/>
        </w:rPr>
        <w:t xml:space="preserve">The Court Funds update to the Investment Committee shows strong performance for the first quarter and notes that cash balances remain high in order to have the access needed for Wards of Court that choose to move to the Assisted </w:t>
      </w:r>
      <w:proofErr w:type="gramStart"/>
      <w:r w:rsidRPr="006D4C0A">
        <w:rPr>
          <w:rFonts w:ascii="Arial" w:hAnsi="Arial" w:cs="Arial"/>
        </w:rPr>
        <w:t>Decision Making</w:t>
      </w:r>
      <w:proofErr w:type="gramEnd"/>
      <w:r w:rsidRPr="006D4C0A">
        <w:rPr>
          <w:rFonts w:ascii="Arial" w:hAnsi="Arial" w:cs="Arial"/>
        </w:rPr>
        <w:t xml:space="preserve"> Model.</w:t>
      </w:r>
    </w:p>
    <w:p w14:paraId="617A3D18" w14:textId="4A796137" w:rsidR="00A1047C" w:rsidRDefault="00A1047C" w:rsidP="00B41E16">
      <w:pPr>
        <w:spacing w:after="120" w:line="360" w:lineRule="auto"/>
        <w:jc w:val="both"/>
        <w:rPr>
          <w:rFonts w:ascii="Arial" w:hAnsi="Arial" w:cs="Arial"/>
        </w:rPr>
      </w:pPr>
      <w:r>
        <w:rPr>
          <w:rFonts w:ascii="Arial" w:hAnsi="Arial" w:cs="Arial"/>
        </w:rPr>
        <w:t>There was a discussion in relation to the overspend and the requirement for a supplementary budget. Mr Cleere outlined the need for ongoing communication between the Courts Service, the Department of Justice and DPENDR. It will be the first time that the Courts Service have requested a supplementary budget.</w:t>
      </w:r>
    </w:p>
    <w:p w14:paraId="79813479" w14:textId="43B57BCD" w:rsidR="000B0560" w:rsidRPr="00A56A21" w:rsidRDefault="00A1047C" w:rsidP="00B41E16">
      <w:pPr>
        <w:spacing w:after="120" w:line="360" w:lineRule="auto"/>
        <w:jc w:val="both"/>
        <w:rPr>
          <w:rFonts w:ascii="Arial" w:hAnsi="Arial" w:cs="Arial"/>
        </w:rPr>
      </w:pPr>
      <w:r>
        <w:rPr>
          <w:rFonts w:ascii="Arial" w:hAnsi="Arial" w:cs="Arial"/>
        </w:rPr>
        <w:t xml:space="preserve">A query arose in relation to the Modernisation Programme. Ms Denning </w:t>
      </w:r>
      <w:r w:rsidRPr="001F0E71">
        <w:rPr>
          <w:rFonts w:ascii="Arial" w:hAnsi="Arial" w:cs="Arial"/>
        </w:rPr>
        <w:t xml:space="preserve">asked that this be added to the agenda for the September meeting for Ms Emer Darcy to provide an update. (Action </w:t>
      </w:r>
      <w:r w:rsidR="00ED6693" w:rsidRPr="001F0E71">
        <w:rPr>
          <w:rFonts w:ascii="Arial" w:hAnsi="Arial" w:cs="Arial"/>
        </w:rPr>
        <w:t>CSB 25/2024</w:t>
      </w:r>
      <w:r w:rsidRPr="001F0E71">
        <w:rPr>
          <w:rFonts w:ascii="Arial" w:hAnsi="Arial" w:cs="Arial"/>
        </w:rPr>
        <w:t>). There was a discussion in relation to prompt payment interest, how this is monitored and training for staff on processing and querying invoices.</w:t>
      </w:r>
      <w:r>
        <w:rPr>
          <w:rFonts w:ascii="Arial" w:hAnsi="Arial" w:cs="Arial"/>
        </w:rPr>
        <w:t xml:space="preserve"> </w:t>
      </w:r>
    </w:p>
    <w:p w14:paraId="03118E0C" w14:textId="77777777" w:rsidR="006D4C0A" w:rsidRPr="000817EE" w:rsidRDefault="006D4C0A" w:rsidP="00630872">
      <w:pPr>
        <w:spacing w:after="120" w:line="360" w:lineRule="auto"/>
        <w:rPr>
          <w:rFonts w:ascii="Arial" w:hAnsi="Arial" w:cs="Arial"/>
          <w:b/>
          <w:bCs/>
          <w:sz w:val="24"/>
          <w:szCs w:val="24"/>
        </w:rPr>
      </w:pPr>
    </w:p>
    <w:p w14:paraId="66823ABA" w14:textId="01FF8D7A" w:rsidR="00B12E93" w:rsidRPr="009C79F0" w:rsidRDefault="005740D2" w:rsidP="00630872">
      <w:pPr>
        <w:spacing w:after="120" w:line="360" w:lineRule="auto"/>
        <w:rPr>
          <w:rFonts w:ascii="Arial" w:hAnsi="Arial" w:cs="Arial"/>
          <w:b/>
          <w:bCs/>
        </w:rPr>
      </w:pPr>
      <w:r w:rsidRPr="009C79F0">
        <w:rPr>
          <w:rFonts w:ascii="Arial" w:hAnsi="Arial" w:cs="Arial"/>
          <w:b/>
          <w:bCs/>
        </w:rPr>
        <w:t>6</w:t>
      </w:r>
      <w:r w:rsidR="003A3AAC" w:rsidRPr="009C79F0">
        <w:rPr>
          <w:rFonts w:ascii="Arial" w:hAnsi="Arial" w:cs="Arial"/>
          <w:b/>
          <w:bCs/>
        </w:rPr>
        <w:t xml:space="preserve">. </w:t>
      </w:r>
      <w:r w:rsidR="004F11EC" w:rsidRPr="009C79F0">
        <w:rPr>
          <w:rFonts w:ascii="Arial" w:hAnsi="Arial" w:cs="Arial"/>
          <w:b/>
          <w:bCs/>
        </w:rPr>
        <w:t xml:space="preserve"> </w:t>
      </w:r>
      <w:r w:rsidR="004F11EC" w:rsidRPr="009C79F0">
        <w:rPr>
          <w:rFonts w:ascii="Arial" w:hAnsi="Arial" w:cs="Arial"/>
          <w:b/>
          <w:bCs/>
        </w:rPr>
        <w:tab/>
      </w:r>
      <w:r w:rsidR="00B12E93" w:rsidRPr="009C79F0">
        <w:rPr>
          <w:rFonts w:ascii="Arial" w:hAnsi="Arial" w:cs="Arial"/>
          <w:b/>
          <w:bCs/>
        </w:rPr>
        <w:t xml:space="preserve">Estimates </w:t>
      </w:r>
      <w:r w:rsidR="00A56A21" w:rsidRPr="009C79F0">
        <w:rPr>
          <w:rFonts w:ascii="Arial" w:hAnsi="Arial" w:cs="Arial"/>
          <w:b/>
          <w:bCs/>
        </w:rPr>
        <w:t>2025 (</w:t>
      </w:r>
      <w:r w:rsidR="00B12E93" w:rsidRPr="009C79F0">
        <w:rPr>
          <w:rFonts w:ascii="Arial" w:hAnsi="Arial" w:cs="Arial"/>
          <w:b/>
          <w:bCs/>
        </w:rPr>
        <w:t>R</w:t>
      </w:r>
      <w:r w:rsidR="004314A6" w:rsidRPr="009C79F0">
        <w:rPr>
          <w:rFonts w:ascii="Arial" w:hAnsi="Arial" w:cs="Arial"/>
          <w:b/>
          <w:bCs/>
        </w:rPr>
        <w:t xml:space="preserve">eport CSB </w:t>
      </w:r>
      <w:r w:rsidR="00B12E93" w:rsidRPr="009C79F0">
        <w:rPr>
          <w:rFonts w:ascii="Arial" w:hAnsi="Arial" w:cs="Arial"/>
          <w:b/>
          <w:bCs/>
        </w:rPr>
        <w:t>40</w:t>
      </w:r>
      <w:r w:rsidR="004314A6" w:rsidRPr="009C79F0">
        <w:rPr>
          <w:rFonts w:ascii="Arial" w:hAnsi="Arial" w:cs="Arial"/>
          <w:b/>
          <w:bCs/>
        </w:rPr>
        <w:t>/2024)</w:t>
      </w:r>
    </w:p>
    <w:p w14:paraId="4EA7473C" w14:textId="77777777" w:rsidR="00B12E93" w:rsidRPr="006D4C0A" w:rsidRDefault="00B12E93" w:rsidP="00B41E16">
      <w:pPr>
        <w:spacing w:after="120" w:line="360" w:lineRule="auto"/>
        <w:jc w:val="both"/>
        <w:rPr>
          <w:rFonts w:ascii="Arial" w:hAnsi="Arial" w:cs="Arial"/>
        </w:rPr>
      </w:pPr>
      <w:r w:rsidRPr="006D4C0A">
        <w:rPr>
          <w:rFonts w:ascii="Arial" w:hAnsi="Arial" w:cs="Arial"/>
        </w:rPr>
        <w:t xml:space="preserve">Ms. John Cleere, presented the Report as circulated highlighting the following: </w:t>
      </w:r>
    </w:p>
    <w:p w14:paraId="171E7DA1" w14:textId="2016E9F8" w:rsidR="00996BD9" w:rsidRDefault="006D4C0A" w:rsidP="00B41E16">
      <w:pPr>
        <w:pStyle w:val="TableParagraph"/>
        <w:spacing w:before="0" w:after="120" w:line="360" w:lineRule="auto"/>
        <w:ind w:left="0"/>
        <w:jc w:val="both"/>
        <w:rPr>
          <w:color w:val="231F20"/>
        </w:rPr>
      </w:pPr>
      <w:r w:rsidRPr="006D4C0A">
        <w:rPr>
          <w:color w:val="231F20"/>
        </w:rPr>
        <w:t>The Board are asked to note the Estimates Submission for 2025</w:t>
      </w:r>
      <w:r w:rsidR="00996BD9">
        <w:rPr>
          <w:color w:val="231F20"/>
        </w:rPr>
        <w:t xml:space="preserve">. </w:t>
      </w:r>
      <w:r w:rsidR="00BA5C04" w:rsidRPr="006D4C0A">
        <w:rPr>
          <w:color w:val="231F20"/>
        </w:rPr>
        <w:t>The estimates submission was compiled in consultation with all the directorates and the management team.</w:t>
      </w:r>
      <w:r w:rsidR="00CA3F78">
        <w:rPr>
          <w:color w:val="231F20"/>
        </w:rPr>
        <w:t xml:space="preserve"> </w:t>
      </w:r>
      <w:r w:rsidR="00996BD9">
        <w:rPr>
          <w:color w:val="231F20"/>
        </w:rPr>
        <w:t xml:space="preserve">The paper was </w:t>
      </w:r>
      <w:r w:rsidR="00996BD9" w:rsidRPr="006D4C0A">
        <w:rPr>
          <w:color w:val="231F20"/>
        </w:rPr>
        <w:t xml:space="preserve">provided to the Department of Justice, following the Finance Committee meeting on the </w:t>
      </w:r>
      <w:r w:rsidR="000245B5" w:rsidRPr="006D4C0A">
        <w:rPr>
          <w:color w:val="231F20"/>
        </w:rPr>
        <w:t>1</w:t>
      </w:r>
      <w:r w:rsidR="000245B5" w:rsidRPr="006D4C0A">
        <w:rPr>
          <w:color w:val="231F20"/>
          <w:vertAlign w:val="superscript"/>
        </w:rPr>
        <w:t>st of</w:t>
      </w:r>
      <w:r w:rsidR="00996BD9" w:rsidRPr="006D4C0A">
        <w:rPr>
          <w:color w:val="231F20"/>
        </w:rPr>
        <w:t xml:space="preserve"> </w:t>
      </w:r>
      <w:proofErr w:type="gramStart"/>
      <w:r w:rsidR="00996BD9" w:rsidRPr="006D4C0A">
        <w:rPr>
          <w:color w:val="231F20"/>
        </w:rPr>
        <w:t>July</w:t>
      </w:r>
      <w:proofErr w:type="gramEnd"/>
      <w:r w:rsidR="00996BD9" w:rsidRPr="006D4C0A">
        <w:rPr>
          <w:color w:val="231F20"/>
        </w:rPr>
        <w:t xml:space="preserve"> and will be provided to the Department of Public Expenditure NDP Delivery and Reform. </w:t>
      </w:r>
    </w:p>
    <w:p w14:paraId="5CB9D453" w14:textId="39EA3BE7" w:rsidR="00E12424" w:rsidRDefault="00BA5C04" w:rsidP="00B41E16">
      <w:pPr>
        <w:spacing w:after="120" w:line="360" w:lineRule="auto"/>
        <w:jc w:val="both"/>
        <w:rPr>
          <w:rFonts w:ascii="Arial" w:hAnsi="Arial" w:cs="Arial"/>
          <w:color w:val="231F20"/>
        </w:rPr>
      </w:pPr>
      <w:r>
        <w:rPr>
          <w:rFonts w:ascii="Arial" w:hAnsi="Arial" w:cs="Arial"/>
          <w:color w:val="231F20"/>
        </w:rPr>
        <w:t xml:space="preserve">Mr Cleere outlined that </w:t>
      </w:r>
      <w:r w:rsidR="00996BD9" w:rsidRPr="006D4C0A">
        <w:rPr>
          <w:rFonts w:ascii="Arial" w:hAnsi="Arial" w:cs="Arial"/>
          <w:color w:val="231F20"/>
        </w:rPr>
        <w:t xml:space="preserve">the estimates submission for 2025 and provides a breakdown across Pay, Non-Pay, Capital, and Appropriations in Aid. </w:t>
      </w:r>
      <w:r w:rsidR="00CA30E0">
        <w:rPr>
          <w:rFonts w:ascii="Arial" w:hAnsi="Arial" w:cs="Arial"/>
          <w:color w:val="231F20"/>
        </w:rPr>
        <w:t xml:space="preserve">The submission </w:t>
      </w:r>
      <w:r w:rsidR="00996BD9" w:rsidRPr="006D4C0A">
        <w:rPr>
          <w:rFonts w:ascii="Arial" w:hAnsi="Arial" w:cs="Arial"/>
          <w:color w:val="231F20"/>
        </w:rPr>
        <w:t>highlights the funding needed for implementing the</w:t>
      </w:r>
      <w:r w:rsidR="00B41E16">
        <w:rPr>
          <w:rFonts w:ascii="Arial" w:hAnsi="Arial" w:cs="Arial"/>
          <w:color w:val="231F20"/>
        </w:rPr>
        <w:t xml:space="preserve">  </w:t>
      </w:r>
    </w:p>
    <w:p w14:paraId="72EB2DC0" w14:textId="77777777" w:rsidR="00B41E16" w:rsidRDefault="00B41E16" w:rsidP="00B41E16">
      <w:pPr>
        <w:spacing w:after="120" w:line="360" w:lineRule="auto"/>
        <w:jc w:val="both"/>
        <w:rPr>
          <w:rFonts w:ascii="Arial" w:hAnsi="Arial" w:cs="Arial"/>
          <w:color w:val="231F20"/>
        </w:rPr>
      </w:pPr>
    </w:p>
    <w:p w14:paraId="16A9F45C" w14:textId="77777777" w:rsidR="00B41E16" w:rsidRDefault="00B41E16" w:rsidP="00B41E16">
      <w:pPr>
        <w:spacing w:after="120" w:line="360" w:lineRule="auto"/>
        <w:jc w:val="both"/>
        <w:rPr>
          <w:rFonts w:ascii="Arial" w:hAnsi="Arial" w:cs="Arial"/>
          <w:color w:val="231F20"/>
        </w:rPr>
      </w:pPr>
    </w:p>
    <w:p w14:paraId="40ED8D28" w14:textId="77777777" w:rsidR="00E12424" w:rsidRDefault="00E12424" w:rsidP="00B41E16">
      <w:pPr>
        <w:spacing w:after="120" w:line="360" w:lineRule="auto"/>
        <w:jc w:val="both"/>
        <w:rPr>
          <w:rFonts w:ascii="Arial" w:hAnsi="Arial" w:cs="Arial"/>
          <w:color w:val="231F20"/>
        </w:rPr>
      </w:pPr>
    </w:p>
    <w:p w14:paraId="18FE6A7B" w14:textId="744D0D65" w:rsidR="006D4C0A" w:rsidRPr="001D0795" w:rsidRDefault="00CA30E0" w:rsidP="00B41E16">
      <w:pPr>
        <w:spacing w:after="120" w:line="360" w:lineRule="auto"/>
        <w:jc w:val="both"/>
        <w:rPr>
          <w:rFonts w:ascii="Arial" w:hAnsi="Arial" w:cs="Arial"/>
          <w:color w:val="231F20"/>
        </w:rPr>
      </w:pPr>
      <w:r w:rsidRPr="00CA30E0">
        <w:rPr>
          <w:rFonts w:ascii="Arial" w:hAnsi="Arial" w:cs="Arial"/>
          <w:color w:val="231F20"/>
        </w:rPr>
        <w:t xml:space="preserve">Judicial Planning Working Group (JPWG) </w:t>
      </w:r>
      <w:r w:rsidR="00996BD9" w:rsidRPr="006D4C0A">
        <w:rPr>
          <w:rFonts w:ascii="Arial" w:hAnsi="Arial" w:cs="Arial"/>
          <w:color w:val="231F20"/>
        </w:rPr>
        <w:t>recommendations and continuing the modernisation programme in addition to Business-as-Usual</w:t>
      </w:r>
      <w:r w:rsidR="00996BD9">
        <w:rPr>
          <w:rFonts w:ascii="Arial" w:hAnsi="Arial" w:cs="Arial"/>
          <w:color w:val="231F20"/>
        </w:rPr>
        <w:t>.</w:t>
      </w:r>
    </w:p>
    <w:p w14:paraId="1D82F54E" w14:textId="567200B0" w:rsidR="006D4C0A" w:rsidRDefault="006D4C0A" w:rsidP="00B41E16">
      <w:pPr>
        <w:pStyle w:val="TableParagraph"/>
        <w:spacing w:before="0" w:after="120" w:line="360" w:lineRule="auto"/>
        <w:ind w:left="0"/>
        <w:jc w:val="both"/>
        <w:rPr>
          <w:color w:val="231F20"/>
        </w:rPr>
      </w:pPr>
      <w:r w:rsidRPr="006D4C0A">
        <w:rPr>
          <w:color w:val="231F20"/>
        </w:rPr>
        <w:t xml:space="preserve">The report sets the context for the estimates request for 2025 breaking down the funding needed to implement the recommendations of the JPWG </w:t>
      </w:r>
      <w:r w:rsidR="00CA30E0">
        <w:rPr>
          <w:color w:val="231F20"/>
        </w:rPr>
        <w:t>(</w:t>
      </w:r>
      <w:r w:rsidRPr="006D4C0A">
        <w:rPr>
          <w:color w:val="231F20"/>
        </w:rPr>
        <w:t>€37.578m</w:t>
      </w:r>
      <w:r w:rsidR="00CA30E0">
        <w:rPr>
          <w:color w:val="231F20"/>
        </w:rPr>
        <w:t>)</w:t>
      </w:r>
      <w:r w:rsidRPr="006D4C0A">
        <w:rPr>
          <w:color w:val="231F20"/>
        </w:rPr>
        <w:t xml:space="preserve"> and the funds needed for Business-as-Usual (BAU) and new initiatives €24.234m. The BAU requirement includes €11.281m of readily identifiable items brought forward from 2024 as they remain unfunded and will result in the need for a supplementary estimate later this year. This includes the restoration of Pay funding </w:t>
      </w:r>
      <w:r w:rsidR="00CA3F78">
        <w:rPr>
          <w:color w:val="231F20"/>
        </w:rPr>
        <w:t>(</w:t>
      </w:r>
      <w:r w:rsidRPr="006D4C0A">
        <w:rPr>
          <w:color w:val="231F20"/>
        </w:rPr>
        <w:t>€3.11m</w:t>
      </w:r>
      <w:r w:rsidR="00CA3F78">
        <w:rPr>
          <w:color w:val="231F20"/>
        </w:rPr>
        <w:t>)</w:t>
      </w:r>
      <w:r w:rsidRPr="006D4C0A">
        <w:rPr>
          <w:color w:val="231F20"/>
        </w:rPr>
        <w:t xml:space="preserve">, funding to take over Jury Minding from </w:t>
      </w:r>
      <w:proofErr w:type="gramStart"/>
      <w:r w:rsidR="00CA3F78">
        <w:rPr>
          <w:color w:val="231F20"/>
        </w:rPr>
        <w:t>An</w:t>
      </w:r>
      <w:proofErr w:type="gramEnd"/>
      <w:r w:rsidR="00CA3F78">
        <w:rPr>
          <w:color w:val="231F20"/>
        </w:rPr>
        <w:t xml:space="preserve"> Garda Síochána (</w:t>
      </w:r>
      <w:r w:rsidRPr="006D4C0A">
        <w:rPr>
          <w:color w:val="231F20"/>
        </w:rPr>
        <w:t>€2m</w:t>
      </w:r>
      <w:r w:rsidR="00CA3F78">
        <w:rPr>
          <w:color w:val="231F20"/>
        </w:rPr>
        <w:t>- a recommendation of the Commission on the Future of Policing)</w:t>
      </w:r>
      <w:r w:rsidRPr="006D4C0A">
        <w:rPr>
          <w:color w:val="231F20"/>
        </w:rPr>
        <w:t xml:space="preserve"> and €6.171m Capital funding to meet the costs of projects already underway. </w:t>
      </w:r>
    </w:p>
    <w:p w14:paraId="36E35771" w14:textId="6E9150C7" w:rsidR="006D4C0A" w:rsidRDefault="006D4C0A" w:rsidP="00B41E16">
      <w:pPr>
        <w:pStyle w:val="TableParagraph"/>
        <w:spacing w:before="0" w:after="120" w:line="360" w:lineRule="auto"/>
        <w:ind w:left="0"/>
        <w:jc w:val="both"/>
        <w:rPr>
          <w:color w:val="231F20"/>
        </w:rPr>
      </w:pPr>
      <w:r w:rsidRPr="006D4C0A">
        <w:rPr>
          <w:color w:val="231F20"/>
        </w:rPr>
        <w:t xml:space="preserve">The additional funding requirement which relates 2025 is €12.953m, with €1.020m for 12 new roles under the Pay heading, €10.626m on </w:t>
      </w:r>
      <w:proofErr w:type="gramStart"/>
      <w:r w:rsidRPr="006D4C0A">
        <w:rPr>
          <w:color w:val="231F20"/>
        </w:rPr>
        <w:t>Non-Pay</w:t>
      </w:r>
      <w:proofErr w:type="gramEnd"/>
      <w:r w:rsidRPr="006D4C0A">
        <w:rPr>
          <w:color w:val="231F20"/>
        </w:rPr>
        <w:t xml:space="preserve"> items including demand led items like Digital Audio Recording, Translation Services and Intermediaries for vulnerable Court users and €1.327m Capital mainly for additional costs of the preparatory works for the Dublin Family Law Complex. No change has been requested for our Appropriations in Aid income.</w:t>
      </w:r>
    </w:p>
    <w:p w14:paraId="45750D5E" w14:textId="57D4D143" w:rsidR="00CA30E0" w:rsidRDefault="00BA5C04" w:rsidP="00B41E16">
      <w:pPr>
        <w:pStyle w:val="TableParagraph"/>
        <w:spacing w:before="0" w:after="120" w:line="360" w:lineRule="auto"/>
        <w:ind w:left="0"/>
        <w:jc w:val="both"/>
        <w:rPr>
          <w:color w:val="231F20"/>
        </w:rPr>
      </w:pPr>
      <w:proofErr w:type="spellStart"/>
      <w:r>
        <w:rPr>
          <w:color w:val="231F20"/>
        </w:rPr>
        <w:t>Mr</w:t>
      </w:r>
      <w:proofErr w:type="spellEnd"/>
      <w:r>
        <w:rPr>
          <w:color w:val="231F20"/>
        </w:rPr>
        <w:t xml:space="preserve"> Cleere outlined that the Courts Service has</w:t>
      </w:r>
      <w:r w:rsidR="006D4C0A" w:rsidRPr="006D4C0A">
        <w:rPr>
          <w:color w:val="231F20"/>
        </w:rPr>
        <w:t xml:space="preserve"> sought to retain the €1m </w:t>
      </w:r>
      <w:proofErr w:type="gramStart"/>
      <w:r w:rsidR="006D4C0A" w:rsidRPr="006D4C0A">
        <w:rPr>
          <w:color w:val="231F20"/>
        </w:rPr>
        <w:t>Non-Core</w:t>
      </w:r>
      <w:proofErr w:type="gramEnd"/>
      <w:r w:rsidR="006D4C0A" w:rsidRPr="006D4C0A">
        <w:rPr>
          <w:color w:val="231F20"/>
        </w:rPr>
        <w:t xml:space="preserve"> funding which had been used for COVID initiatives which are now part of Core funding on the basis that those costs remain and because the Courts Service now require the funding to respond to the rise in International Protection Office (IPO) matters which are increasing rapidly. The total additional funding request is €61.812m for 2025.</w:t>
      </w:r>
    </w:p>
    <w:p w14:paraId="063AAF5E" w14:textId="21EC2132" w:rsidR="00B12E93" w:rsidRPr="00BA5C04" w:rsidRDefault="00BA5C04" w:rsidP="00B41E16">
      <w:pPr>
        <w:pStyle w:val="TableParagraph"/>
        <w:spacing w:before="0" w:after="120" w:line="360" w:lineRule="auto"/>
        <w:ind w:left="0"/>
        <w:jc w:val="both"/>
        <w:rPr>
          <w:color w:val="231F20"/>
        </w:rPr>
      </w:pPr>
      <w:r>
        <w:rPr>
          <w:rFonts w:cstheme="minorHAnsi"/>
        </w:rPr>
        <w:t xml:space="preserve">There was a discussion about the ongoing impact of the </w:t>
      </w:r>
      <w:r w:rsidR="00CA30E0">
        <w:rPr>
          <w:rFonts w:cstheme="minorHAnsi"/>
        </w:rPr>
        <w:t xml:space="preserve">absence of </w:t>
      </w:r>
      <w:r>
        <w:rPr>
          <w:rFonts w:cstheme="minorHAnsi"/>
        </w:rPr>
        <w:t xml:space="preserve">funding </w:t>
      </w:r>
      <w:r w:rsidR="00CA30E0">
        <w:rPr>
          <w:rFonts w:cstheme="minorHAnsi"/>
        </w:rPr>
        <w:t>for</w:t>
      </w:r>
      <w:r>
        <w:rPr>
          <w:rFonts w:cstheme="minorHAnsi"/>
        </w:rPr>
        <w:t xml:space="preserve"> the JPWG recommendations. </w:t>
      </w:r>
      <w:proofErr w:type="spellStart"/>
      <w:r>
        <w:rPr>
          <w:rFonts w:cstheme="minorHAnsi"/>
        </w:rPr>
        <w:t>Ms</w:t>
      </w:r>
      <w:proofErr w:type="spellEnd"/>
      <w:r>
        <w:rPr>
          <w:rFonts w:cstheme="minorHAnsi"/>
        </w:rPr>
        <w:t xml:space="preserve"> Denning outlined that the impact for 2025 of underfunding would be more evident</w:t>
      </w:r>
      <w:r w:rsidR="00CA3F78">
        <w:rPr>
          <w:rFonts w:cstheme="minorHAnsi"/>
        </w:rPr>
        <w:t xml:space="preserve"> than in previous years,</w:t>
      </w:r>
      <w:r>
        <w:rPr>
          <w:rFonts w:cstheme="minorHAnsi"/>
        </w:rPr>
        <w:t xml:space="preserve"> as </w:t>
      </w:r>
      <w:r w:rsidR="00CA3F78">
        <w:rPr>
          <w:rFonts w:cstheme="minorHAnsi"/>
        </w:rPr>
        <w:t xml:space="preserve">any additional </w:t>
      </w:r>
      <w:r>
        <w:rPr>
          <w:rFonts w:cstheme="minorHAnsi"/>
        </w:rPr>
        <w:t xml:space="preserve">judges </w:t>
      </w:r>
      <w:r w:rsidR="00CA3F78">
        <w:rPr>
          <w:rFonts w:cstheme="minorHAnsi"/>
        </w:rPr>
        <w:t xml:space="preserve">appointed </w:t>
      </w:r>
      <w:r>
        <w:rPr>
          <w:rFonts w:cstheme="minorHAnsi"/>
        </w:rPr>
        <w:t xml:space="preserve">would not be </w:t>
      </w:r>
      <w:proofErr w:type="gramStart"/>
      <w:r>
        <w:rPr>
          <w:rFonts w:cstheme="minorHAnsi"/>
        </w:rPr>
        <w:t>in a position</w:t>
      </w:r>
      <w:proofErr w:type="gramEnd"/>
      <w:r>
        <w:rPr>
          <w:rFonts w:cstheme="minorHAnsi"/>
        </w:rPr>
        <w:t xml:space="preserve"> to sit due to lack of court staff and chambers.</w:t>
      </w:r>
      <w:r w:rsidR="00CA3F78">
        <w:rPr>
          <w:rFonts w:cstheme="minorHAnsi"/>
        </w:rPr>
        <w:t xml:space="preserve"> There was a discussion in relation to the time it takes to recruit and train staff where funding is available</w:t>
      </w:r>
      <w:r w:rsidR="00CA30E0">
        <w:rPr>
          <w:rFonts w:cstheme="minorHAnsi"/>
        </w:rPr>
        <w:t xml:space="preserve">. There was some discussion in relation to the financial impact of backlogs in the Courts on other Departments and agencies. </w:t>
      </w:r>
    </w:p>
    <w:p w14:paraId="53A08D14" w14:textId="77777777" w:rsidR="00B12E93" w:rsidRPr="001F5EE8" w:rsidRDefault="00B12E93" w:rsidP="00630872">
      <w:pPr>
        <w:spacing w:after="120" w:line="360" w:lineRule="auto"/>
        <w:rPr>
          <w:rFonts w:ascii="Arial" w:hAnsi="Arial" w:cs="Arial"/>
        </w:rPr>
      </w:pPr>
    </w:p>
    <w:p w14:paraId="124F4643" w14:textId="002DB39D" w:rsidR="00870DBA" w:rsidRDefault="004F11EC" w:rsidP="00B41E16">
      <w:pPr>
        <w:spacing w:after="120" w:line="360" w:lineRule="auto"/>
        <w:jc w:val="both"/>
        <w:rPr>
          <w:rFonts w:ascii="Arial" w:hAnsi="Arial" w:cs="Arial"/>
          <w:b/>
          <w:bCs/>
        </w:rPr>
      </w:pPr>
      <w:r w:rsidRPr="001F5EE8">
        <w:rPr>
          <w:rFonts w:ascii="Arial" w:hAnsi="Arial" w:cs="Arial"/>
          <w:b/>
          <w:bCs/>
        </w:rPr>
        <w:t xml:space="preserve">7. </w:t>
      </w:r>
      <w:r w:rsidRPr="001F5EE8">
        <w:rPr>
          <w:rFonts w:ascii="Arial" w:hAnsi="Arial" w:cs="Arial"/>
          <w:b/>
          <w:bCs/>
        </w:rPr>
        <w:tab/>
      </w:r>
      <w:r w:rsidR="00AF1B40">
        <w:rPr>
          <w:rFonts w:ascii="Arial" w:hAnsi="Arial" w:cs="Arial"/>
          <w:b/>
          <w:bCs/>
        </w:rPr>
        <w:t xml:space="preserve">DRAFT Annual Report </w:t>
      </w:r>
      <w:r w:rsidR="006D4C0A">
        <w:rPr>
          <w:rFonts w:ascii="Arial" w:hAnsi="Arial" w:cs="Arial"/>
          <w:b/>
          <w:bCs/>
        </w:rPr>
        <w:t xml:space="preserve">– Code of Practice for Governance of State </w:t>
      </w:r>
      <w:r w:rsidR="00A56A21">
        <w:rPr>
          <w:rFonts w:ascii="Arial" w:hAnsi="Arial" w:cs="Arial"/>
          <w:b/>
          <w:bCs/>
        </w:rPr>
        <w:t>Bodies (</w:t>
      </w:r>
      <w:r w:rsidR="00AF1B40">
        <w:rPr>
          <w:rFonts w:ascii="Arial" w:hAnsi="Arial" w:cs="Arial"/>
          <w:b/>
          <w:bCs/>
        </w:rPr>
        <w:t xml:space="preserve">Report CSB </w:t>
      </w:r>
      <w:r w:rsidR="006D4C0A">
        <w:rPr>
          <w:rFonts w:ascii="Arial" w:hAnsi="Arial" w:cs="Arial"/>
          <w:b/>
          <w:bCs/>
        </w:rPr>
        <w:tab/>
      </w:r>
      <w:r w:rsidR="00AF1B40">
        <w:rPr>
          <w:rFonts w:ascii="Arial" w:hAnsi="Arial" w:cs="Arial"/>
          <w:b/>
          <w:bCs/>
        </w:rPr>
        <w:t>41/2024)</w:t>
      </w:r>
      <w:r w:rsidR="00870DBA" w:rsidRPr="00870DBA">
        <w:rPr>
          <w:rFonts w:ascii="Arial" w:hAnsi="Arial" w:cs="Arial"/>
          <w:b/>
          <w:bCs/>
        </w:rPr>
        <w:t xml:space="preserve"> </w:t>
      </w:r>
    </w:p>
    <w:p w14:paraId="67968997" w14:textId="77777777" w:rsidR="00E12424" w:rsidRDefault="00CA30E0" w:rsidP="00B41E16">
      <w:pPr>
        <w:spacing w:after="120" w:line="360" w:lineRule="auto"/>
        <w:jc w:val="both"/>
        <w:rPr>
          <w:rFonts w:ascii="Arial" w:hAnsi="Arial" w:cs="Arial"/>
        </w:rPr>
      </w:pPr>
      <w:r w:rsidRPr="00CA30E0">
        <w:rPr>
          <w:rFonts w:ascii="Arial" w:hAnsi="Arial" w:cs="Arial"/>
        </w:rPr>
        <w:t xml:space="preserve">Ms. Denning presented the report as circulated and advised the Board that in accordance with Section 2.6 of the Code of Practice for Governance of State Bodies 2016,  the Chairperson of each State body is required to furnish to the relevant Minister in conjunction with the annual report and financial statements of the State body, a comprehensive report  providing details of the system of internal control and affirming that all appropriate procedures for financial reporting, internal audit, remuneration, travel, procurement and asset disposal are being carried out.  </w:t>
      </w:r>
      <w:r>
        <w:rPr>
          <w:rFonts w:ascii="Arial" w:hAnsi="Arial" w:cs="Arial"/>
        </w:rPr>
        <w:t xml:space="preserve">Ms Denning outlined that the Courts Service is in somewhat of a unique position in this respect of the </w:t>
      </w:r>
      <w:r w:rsidR="002479D7">
        <w:rPr>
          <w:rFonts w:ascii="Arial" w:hAnsi="Arial" w:cs="Arial"/>
        </w:rPr>
        <w:t>Code</w:t>
      </w:r>
      <w:r>
        <w:rPr>
          <w:rFonts w:ascii="Arial" w:hAnsi="Arial" w:cs="Arial"/>
        </w:rPr>
        <w:t xml:space="preserve">, as </w:t>
      </w:r>
      <w:r w:rsidRPr="00CA30E0">
        <w:rPr>
          <w:rFonts w:ascii="Arial" w:hAnsi="Arial" w:cs="Arial"/>
        </w:rPr>
        <w:t xml:space="preserve">the Service is a central Office of Government that is directly funded by an appropriation from vote of the Oireachtas with an Accounting Officer </w:t>
      </w:r>
      <w:r w:rsidR="002479D7">
        <w:rPr>
          <w:rFonts w:ascii="Arial" w:hAnsi="Arial" w:cs="Arial"/>
        </w:rPr>
        <w:t xml:space="preserve">(the Chief Executive Officer) who </w:t>
      </w:r>
      <w:r w:rsidRPr="00CA30E0">
        <w:rPr>
          <w:rFonts w:ascii="Arial" w:hAnsi="Arial" w:cs="Arial"/>
        </w:rPr>
        <w:t>is solely responsible for the monies appropriated, not a board</w:t>
      </w:r>
      <w:r w:rsidR="002479D7">
        <w:rPr>
          <w:rFonts w:ascii="Arial" w:hAnsi="Arial" w:cs="Arial"/>
        </w:rPr>
        <w:t>, and the Service</w:t>
      </w:r>
      <w:r w:rsidRPr="00CA30E0">
        <w:rPr>
          <w:rFonts w:ascii="Arial" w:hAnsi="Arial" w:cs="Arial"/>
        </w:rPr>
        <w:t xml:space="preserve"> is not </w:t>
      </w:r>
      <w:proofErr w:type="gramStart"/>
      <w:r w:rsidRPr="00CA30E0">
        <w:rPr>
          <w:rFonts w:ascii="Arial" w:hAnsi="Arial" w:cs="Arial"/>
        </w:rPr>
        <w:t>a non-</w:t>
      </w:r>
      <w:proofErr w:type="gramEnd"/>
      <w:r w:rsidR="00E12424">
        <w:rPr>
          <w:rFonts w:ascii="Arial" w:hAnsi="Arial" w:cs="Arial"/>
        </w:rPr>
        <w:t xml:space="preserve">  </w:t>
      </w:r>
    </w:p>
    <w:p w14:paraId="6B26F9B4" w14:textId="77777777" w:rsidR="00E12424" w:rsidRDefault="00E12424" w:rsidP="00B41E16">
      <w:pPr>
        <w:spacing w:after="120" w:line="360" w:lineRule="auto"/>
        <w:jc w:val="both"/>
        <w:rPr>
          <w:rFonts w:ascii="Arial" w:hAnsi="Arial" w:cs="Arial"/>
        </w:rPr>
      </w:pPr>
    </w:p>
    <w:p w14:paraId="4C6CAC09" w14:textId="1529441E" w:rsidR="00CA30E0" w:rsidRDefault="00CA30E0" w:rsidP="00B41E16">
      <w:pPr>
        <w:spacing w:after="120" w:line="360" w:lineRule="auto"/>
        <w:jc w:val="both"/>
        <w:rPr>
          <w:rFonts w:ascii="Arial" w:hAnsi="Arial" w:cs="Arial"/>
        </w:rPr>
      </w:pPr>
      <w:r w:rsidRPr="00CA30E0">
        <w:rPr>
          <w:rFonts w:ascii="Arial" w:hAnsi="Arial" w:cs="Arial"/>
        </w:rPr>
        <w:t>commercial grant funded body nor a commercial body that are within the ambit of the Code.</w:t>
      </w:r>
      <w:r w:rsidR="002479D7">
        <w:rPr>
          <w:rFonts w:ascii="Arial" w:hAnsi="Arial" w:cs="Arial"/>
        </w:rPr>
        <w:t xml:space="preserve"> This position has been confirmed by government accounting. Ms Denning outlined that the form of letter/report may need to change in consultation with DPENDR. </w:t>
      </w:r>
    </w:p>
    <w:p w14:paraId="5F3094F0" w14:textId="33AFD1D7" w:rsidR="002479D7" w:rsidRDefault="002479D7" w:rsidP="00B41E16">
      <w:pPr>
        <w:spacing w:after="120" w:line="360" w:lineRule="auto"/>
        <w:jc w:val="both"/>
        <w:rPr>
          <w:rFonts w:ascii="Arial" w:hAnsi="Arial" w:cs="Arial"/>
        </w:rPr>
      </w:pPr>
      <w:r>
        <w:rPr>
          <w:rFonts w:ascii="Arial" w:hAnsi="Arial" w:cs="Arial"/>
        </w:rPr>
        <w:t xml:space="preserve">Mr Noel Beecher, Chair of the Audit and Risk Committee, outlined discussions that had taken place at the Committee in relation to the </w:t>
      </w:r>
      <w:r w:rsidRPr="00CA30E0">
        <w:rPr>
          <w:rFonts w:ascii="Arial" w:hAnsi="Arial" w:cs="Arial"/>
        </w:rPr>
        <w:t>Code of Practice for Governance of State Bodies</w:t>
      </w:r>
      <w:r>
        <w:rPr>
          <w:rFonts w:ascii="Arial" w:hAnsi="Arial" w:cs="Arial"/>
        </w:rPr>
        <w:t xml:space="preserve"> and assurance mapping. Further discussion is to take place at the Committee in relation to the form of report for 2024. The Committee have </w:t>
      </w:r>
      <w:r w:rsidR="00D93E6F">
        <w:rPr>
          <w:rFonts w:ascii="Arial" w:hAnsi="Arial" w:cs="Arial"/>
        </w:rPr>
        <w:t>recommended</w:t>
      </w:r>
      <w:r>
        <w:rPr>
          <w:rFonts w:ascii="Arial" w:hAnsi="Arial" w:cs="Arial"/>
        </w:rPr>
        <w:t xml:space="preserve"> that the Board approve the report for 2023.</w:t>
      </w:r>
    </w:p>
    <w:p w14:paraId="44C5832B" w14:textId="5BB2E29B" w:rsidR="00A43659" w:rsidRPr="001D0795" w:rsidRDefault="00D93E6F" w:rsidP="00B41E16">
      <w:pPr>
        <w:spacing w:after="120" w:line="360" w:lineRule="auto"/>
        <w:jc w:val="both"/>
        <w:rPr>
          <w:rFonts w:ascii="Arial" w:hAnsi="Arial" w:cs="Arial"/>
        </w:rPr>
      </w:pPr>
      <w:r w:rsidRPr="00D93E6F">
        <w:rPr>
          <w:rFonts w:ascii="Arial" w:hAnsi="Arial" w:cs="Arial"/>
        </w:rPr>
        <w:t xml:space="preserve">The Board considered and approved the report for submission to the Minister by the Chief Executive on behalf of the Board, and that it would be appropriate for Ms Denning </w:t>
      </w:r>
      <w:r>
        <w:rPr>
          <w:rFonts w:ascii="Arial" w:hAnsi="Arial" w:cs="Arial"/>
        </w:rPr>
        <w:t xml:space="preserve">(rather than the Chair of the Board) </w:t>
      </w:r>
      <w:r w:rsidRPr="00D93E6F">
        <w:rPr>
          <w:rFonts w:ascii="Arial" w:hAnsi="Arial" w:cs="Arial"/>
        </w:rPr>
        <w:t>to sign the report</w:t>
      </w:r>
      <w:r>
        <w:rPr>
          <w:rFonts w:ascii="Arial" w:hAnsi="Arial" w:cs="Arial"/>
        </w:rPr>
        <w:t>.</w:t>
      </w:r>
    </w:p>
    <w:p w14:paraId="7164B1B6" w14:textId="77777777" w:rsidR="00071BC6" w:rsidRDefault="00071BC6" w:rsidP="00AF1B40">
      <w:pPr>
        <w:pStyle w:val="ListParagraph"/>
        <w:spacing w:after="120" w:line="259" w:lineRule="auto"/>
        <w:ind w:left="0"/>
        <w:rPr>
          <w:rFonts w:ascii="Arial" w:hAnsi="Arial" w:cs="Arial"/>
          <w:b/>
          <w:bCs/>
        </w:rPr>
      </w:pPr>
    </w:p>
    <w:p w14:paraId="244277B4" w14:textId="01C4AE70" w:rsidR="005740D2" w:rsidRDefault="004F11EC" w:rsidP="00AF1B40">
      <w:pPr>
        <w:pStyle w:val="ListParagraph"/>
        <w:spacing w:after="120" w:line="259" w:lineRule="auto"/>
        <w:ind w:left="0"/>
        <w:rPr>
          <w:rFonts w:ascii="Arial" w:hAnsi="Arial" w:cs="Arial"/>
          <w:b/>
          <w:bCs/>
        </w:rPr>
      </w:pPr>
      <w:r w:rsidRPr="001B0D3A">
        <w:rPr>
          <w:rFonts w:ascii="Arial" w:hAnsi="Arial" w:cs="Arial"/>
          <w:b/>
          <w:bCs/>
        </w:rPr>
        <w:t>8.</w:t>
      </w:r>
      <w:r w:rsidRPr="001B0D3A">
        <w:rPr>
          <w:rFonts w:ascii="Arial" w:hAnsi="Arial" w:cs="Arial"/>
          <w:b/>
          <w:bCs/>
        </w:rPr>
        <w:tab/>
      </w:r>
      <w:r w:rsidR="00AF1B40">
        <w:rPr>
          <w:rFonts w:ascii="Arial" w:hAnsi="Arial" w:cs="Arial"/>
          <w:b/>
          <w:bCs/>
        </w:rPr>
        <w:t>Board Committee Updates</w:t>
      </w:r>
    </w:p>
    <w:p w14:paraId="7812A62E" w14:textId="77777777" w:rsidR="00D045B4" w:rsidRDefault="00AF1B40" w:rsidP="00AF1B40">
      <w:pPr>
        <w:pStyle w:val="ListParagraph"/>
        <w:spacing w:after="120" w:line="259" w:lineRule="auto"/>
        <w:ind w:left="0"/>
        <w:rPr>
          <w:rFonts w:ascii="Arial" w:hAnsi="Arial" w:cs="Arial"/>
          <w:b/>
          <w:bCs/>
        </w:rPr>
      </w:pPr>
      <w:r>
        <w:rPr>
          <w:rFonts w:ascii="Arial" w:hAnsi="Arial" w:cs="Arial"/>
          <w:b/>
          <w:bCs/>
        </w:rPr>
        <w:tab/>
      </w:r>
    </w:p>
    <w:p w14:paraId="35552FA7" w14:textId="446BF785" w:rsidR="00FE3B36" w:rsidRDefault="00AF1B40" w:rsidP="004E6A17">
      <w:pPr>
        <w:pStyle w:val="ListParagraph"/>
        <w:spacing w:after="120" w:line="259" w:lineRule="auto"/>
        <w:ind w:left="0"/>
        <w:rPr>
          <w:rFonts w:ascii="Arial" w:hAnsi="Arial" w:cs="Arial"/>
          <w:b/>
          <w:bCs/>
        </w:rPr>
      </w:pPr>
      <w:r>
        <w:rPr>
          <w:rFonts w:ascii="Arial" w:hAnsi="Arial" w:cs="Arial"/>
          <w:b/>
          <w:bCs/>
        </w:rPr>
        <w:t>Family Law Court Development Committee (Report CSB 42/2024)</w:t>
      </w:r>
    </w:p>
    <w:p w14:paraId="08DA1D95" w14:textId="77777777" w:rsidR="004E6A17" w:rsidRDefault="004E6A17" w:rsidP="004E6A17">
      <w:pPr>
        <w:pStyle w:val="ListParagraph"/>
        <w:spacing w:after="120" w:line="259" w:lineRule="auto"/>
        <w:ind w:left="0"/>
        <w:rPr>
          <w:rFonts w:ascii="Arial" w:hAnsi="Arial" w:cs="Arial"/>
          <w:b/>
          <w:bCs/>
        </w:rPr>
      </w:pPr>
    </w:p>
    <w:p w14:paraId="26410F55" w14:textId="77777777" w:rsidR="004E6A17" w:rsidRPr="00D045B4" w:rsidRDefault="004E6A17" w:rsidP="00B41E16">
      <w:pPr>
        <w:pStyle w:val="ListParagraph"/>
        <w:spacing w:after="120" w:line="360" w:lineRule="auto"/>
        <w:ind w:left="0"/>
        <w:jc w:val="both"/>
        <w:rPr>
          <w:rFonts w:ascii="Arial" w:hAnsi="Arial" w:cs="Arial"/>
        </w:rPr>
      </w:pPr>
      <w:r w:rsidRPr="00D045B4">
        <w:rPr>
          <w:rFonts w:ascii="Arial" w:hAnsi="Arial" w:cs="Arial"/>
        </w:rPr>
        <w:t xml:space="preserve">Ms. Sarah Benson presented the report as circulated. </w:t>
      </w:r>
    </w:p>
    <w:p w14:paraId="191E53CD" w14:textId="37AE9EF4" w:rsidR="004E6A17" w:rsidRPr="004E6A17" w:rsidRDefault="004E6A17" w:rsidP="00B41E16">
      <w:pPr>
        <w:spacing w:after="120" w:line="360" w:lineRule="auto"/>
        <w:jc w:val="both"/>
        <w:rPr>
          <w:rFonts w:ascii="Arial" w:hAnsi="Arial" w:cs="Arial"/>
          <w:lang w:val="en-IE"/>
        </w:rPr>
      </w:pPr>
      <w:r w:rsidRPr="00071BC6">
        <w:rPr>
          <w:rFonts w:ascii="Arial" w:hAnsi="Arial" w:cs="Arial"/>
          <w:lang w:val="en-IE"/>
        </w:rPr>
        <w:t xml:space="preserve">There has been one meeting </w:t>
      </w:r>
      <w:r>
        <w:rPr>
          <w:rFonts w:ascii="Arial" w:hAnsi="Arial" w:cs="Arial"/>
          <w:lang w:val="en-IE"/>
        </w:rPr>
        <w:t xml:space="preserve">(held on </w:t>
      </w:r>
      <w:r w:rsidRPr="00071BC6">
        <w:rPr>
          <w:rFonts w:ascii="Arial" w:hAnsi="Arial" w:cs="Arial"/>
          <w:lang w:val="en-IE"/>
        </w:rPr>
        <w:t>24</w:t>
      </w:r>
      <w:r w:rsidRPr="00071BC6">
        <w:rPr>
          <w:rFonts w:ascii="Arial" w:hAnsi="Arial" w:cs="Arial"/>
          <w:vertAlign w:val="superscript"/>
          <w:lang w:val="en-IE"/>
        </w:rPr>
        <w:t>th</w:t>
      </w:r>
      <w:r w:rsidRPr="00071BC6">
        <w:rPr>
          <w:rFonts w:ascii="Arial" w:hAnsi="Arial" w:cs="Arial"/>
          <w:lang w:val="en-IE"/>
        </w:rPr>
        <w:t xml:space="preserve"> June 2024</w:t>
      </w:r>
      <w:r>
        <w:rPr>
          <w:rFonts w:ascii="Arial" w:hAnsi="Arial" w:cs="Arial"/>
          <w:lang w:val="en-IE"/>
        </w:rPr>
        <w:t xml:space="preserve">) </w:t>
      </w:r>
      <w:r w:rsidRPr="00071BC6">
        <w:rPr>
          <w:rFonts w:ascii="Arial" w:hAnsi="Arial" w:cs="Arial"/>
          <w:lang w:val="en-IE"/>
        </w:rPr>
        <w:t xml:space="preserve">since the last report to the </w:t>
      </w:r>
      <w:r w:rsidR="000245B5" w:rsidRPr="00071BC6">
        <w:rPr>
          <w:rFonts w:ascii="Arial" w:hAnsi="Arial" w:cs="Arial"/>
          <w:lang w:val="en-IE"/>
        </w:rPr>
        <w:t>Board.</w:t>
      </w:r>
    </w:p>
    <w:p w14:paraId="46F39DE2" w14:textId="5E5EEBEE" w:rsidR="004E6A17" w:rsidRDefault="004E6A17" w:rsidP="00B41E16">
      <w:pPr>
        <w:pStyle w:val="BodyText"/>
        <w:spacing w:after="120" w:line="360" w:lineRule="auto"/>
        <w:jc w:val="both"/>
        <w:rPr>
          <w:rFonts w:eastAsia="Times New Roman"/>
          <w:sz w:val="22"/>
          <w:szCs w:val="22"/>
        </w:rPr>
      </w:pPr>
      <w:r>
        <w:rPr>
          <w:rFonts w:eastAsia="Times New Roman"/>
          <w:sz w:val="22"/>
          <w:szCs w:val="22"/>
        </w:rPr>
        <w:t xml:space="preserve">The Committee have requested that the </w:t>
      </w:r>
      <w:r w:rsidRPr="00071BC6">
        <w:rPr>
          <w:rFonts w:eastAsia="Times New Roman"/>
          <w:sz w:val="22"/>
          <w:szCs w:val="22"/>
        </w:rPr>
        <w:t>Department of Justice requested to present on the Report into Expert Reports at the September Committee meeting.</w:t>
      </w:r>
    </w:p>
    <w:p w14:paraId="5D60D78D" w14:textId="46EAEEED" w:rsidR="004E6A17" w:rsidRDefault="004E6A17" w:rsidP="00B41E16">
      <w:pPr>
        <w:pStyle w:val="BodyText"/>
        <w:spacing w:after="120" w:line="360" w:lineRule="auto"/>
        <w:jc w:val="both"/>
        <w:rPr>
          <w:rFonts w:eastAsia="Times New Roman"/>
          <w:sz w:val="22"/>
          <w:szCs w:val="22"/>
        </w:rPr>
      </w:pPr>
      <w:r w:rsidRPr="00071BC6">
        <w:rPr>
          <w:rFonts w:eastAsia="Times New Roman"/>
          <w:sz w:val="22"/>
          <w:szCs w:val="22"/>
        </w:rPr>
        <w:t xml:space="preserve">The FLCD Committee recommends that the Courts Service Board should establish a separate additional committee dedicated to </w:t>
      </w:r>
      <w:r w:rsidR="000245B5" w:rsidRPr="00071BC6">
        <w:rPr>
          <w:rFonts w:eastAsia="Times New Roman"/>
          <w:sz w:val="22"/>
          <w:szCs w:val="22"/>
        </w:rPr>
        <w:t>examining</w:t>
      </w:r>
      <w:r w:rsidRPr="00071BC6">
        <w:rPr>
          <w:rFonts w:eastAsia="Times New Roman"/>
          <w:sz w:val="22"/>
          <w:szCs w:val="22"/>
        </w:rPr>
        <w:t xml:space="preserve"> the important matter of </w:t>
      </w:r>
      <w:proofErr w:type="gramStart"/>
      <w:r w:rsidRPr="00071BC6">
        <w:rPr>
          <w:rFonts w:eastAsia="Times New Roman"/>
          <w:sz w:val="22"/>
          <w:szCs w:val="22"/>
        </w:rPr>
        <w:t>Child</w:t>
      </w:r>
      <w:r w:rsidR="000245B5">
        <w:rPr>
          <w:rFonts w:eastAsia="Times New Roman"/>
          <w:sz w:val="22"/>
          <w:szCs w:val="22"/>
        </w:rPr>
        <w:t xml:space="preserve"> </w:t>
      </w:r>
      <w:r w:rsidRPr="00071BC6">
        <w:rPr>
          <w:rFonts w:eastAsia="Times New Roman"/>
          <w:sz w:val="22"/>
          <w:szCs w:val="22"/>
        </w:rPr>
        <w:t>care</w:t>
      </w:r>
      <w:proofErr w:type="gramEnd"/>
      <w:r w:rsidRPr="00071BC6">
        <w:rPr>
          <w:rFonts w:eastAsia="Times New Roman"/>
          <w:sz w:val="22"/>
          <w:szCs w:val="22"/>
        </w:rPr>
        <w:t>.</w:t>
      </w:r>
      <w:r>
        <w:rPr>
          <w:rFonts w:eastAsia="Times New Roman"/>
          <w:sz w:val="22"/>
          <w:szCs w:val="22"/>
        </w:rPr>
        <w:t xml:space="preserve"> This is dealt with further under the next item </w:t>
      </w:r>
      <w:r w:rsidRPr="004E6A17">
        <w:rPr>
          <w:rFonts w:eastAsia="Times New Roman"/>
          <w:i/>
          <w:iCs/>
          <w:sz w:val="22"/>
          <w:szCs w:val="22"/>
        </w:rPr>
        <w:t>(Draft Family Law Court Development Committee Terms of Reference (Report CSB 43/2023))</w:t>
      </w:r>
      <w:r>
        <w:rPr>
          <w:rFonts w:eastAsia="Times New Roman"/>
          <w:i/>
          <w:iCs/>
          <w:sz w:val="22"/>
          <w:szCs w:val="22"/>
        </w:rPr>
        <w:t>.</w:t>
      </w:r>
    </w:p>
    <w:p w14:paraId="53782A84" w14:textId="77777777" w:rsidR="004E6A17" w:rsidRDefault="004E6A17" w:rsidP="004E6A17">
      <w:pPr>
        <w:pStyle w:val="BodyText"/>
        <w:spacing w:before="114"/>
        <w:rPr>
          <w:rFonts w:eastAsia="Times New Roman"/>
          <w:sz w:val="22"/>
          <w:szCs w:val="22"/>
        </w:rPr>
      </w:pPr>
    </w:p>
    <w:p w14:paraId="75DA3F49" w14:textId="77777777" w:rsidR="004E6A17" w:rsidRDefault="004E6A17" w:rsidP="004E6A17">
      <w:pPr>
        <w:pStyle w:val="ListParagraph"/>
        <w:spacing w:after="120" w:line="259" w:lineRule="auto"/>
        <w:ind w:left="0"/>
        <w:rPr>
          <w:rFonts w:ascii="Arial" w:hAnsi="Arial" w:cs="Arial"/>
          <w:b/>
          <w:bCs/>
        </w:rPr>
      </w:pPr>
      <w:r w:rsidRPr="00D045B4">
        <w:rPr>
          <w:rFonts w:ascii="Arial" w:hAnsi="Arial" w:cs="Arial"/>
          <w:b/>
          <w:bCs/>
        </w:rPr>
        <w:t>Draft Family Law Court Development Committee Terms of Reference (Report CSB 43/2023)</w:t>
      </w:r>
    </w:p>
    <w:p w14:paraId="451EB82C" w14:textId="77777777" w:rsidR="004E6A17" w:rsidRDefault="004E6A17" w:rsidP="004E6A17">
      <w:pPr>
        <w:pStyle w:val="ListParagraph"/>
        <w:spacing w:after="120" w:line="259" w:lineRule="auto"/>
        <w:ind w:left="0"/>
        <w:rPr>
          <w:rFonts w:ascii="Arial" w:hAnsi="Arial" w:cs="Arial"/>
        </w:rPr>
      </w:pPr>
    </w:p>
    <w:p w14:paraId="05D1DEB3" w14:textId="77777777" w:rsidR="004E6A17" w:rsidRDefault="004E6A17" w:rsidP="004E6A17">
      <w:pPr>
        <w:pStyle w:val="ListParagraph"/>
        <w:spacing w:after="120" w:line="259" w:lineRule="auto"/>
        <w:ind w:left="0"/>
        <w:rPr>
          <w:rFonts w:ascii="Arial" w:hAnsi="Arial" w:cs="Arial"/>
        </w:rPr>
      </w:pPr>
    </w:p>
    <w:p w14:paraId="43F1B447" w14:textId="49FF5522" w:rsidR="00D93E6F" w:rsidRDefault="00FE3B36" w:rsidP="00B41E16">
      <w:pPr>
        <w:pStyle w:val="ListParagraph"/>
        <w:spacing w:after="120" w:line="360" w:lineRule="auto"/>
        <w:ind w:left="0"/>
        <w:jc w:val="both"/>
        <w:rPr>
          <w:rFonts w:ascii="Arial" w:hAnsi="Arial" w:cs="Arial"/>
        </w:rPr>
      </w:pPr>
      <w:r w:rsidRPr="00D045B4">
        <w:rPr>
          <w:rFonts w:ascii="Arial" w:hAnsi="Arial" w:cs="Arial"/>
        </w:rPr>
        <w:t xml:space="preserve">Ms. Sarah Benson presented the </w:t>
      </w:r>
      <w:r>
        <w:rPr>
          <w:rFonts w:ascii="Arial" w:hAnsi="Arial" w:cs="Arial"/>
        </w:rPr>
        <w:t xml:space="preserve">draft Terms of Reference </w:t>
      </w:r>
      <w:r w:rsidRPr="00D045B4">
        <w:rPr>
          <w:rFonts w:ascii="Arial" w:hAnsi="Arial" w:cs="Arial"/>
        </w:rPr>
        <w:t xml:space="preserve">as circulated. </w:t>
      </w:r>
      <w:r w:rsidR="00D93E6F">
        <w:rPr>
          <w:rFonts w:ascii="Arial" w:hAnsi="Arial" w:cs="Arial"/>
        </w:rPr>
        <w:t xml:space="preserve">It was noted that this report is for decision rather than for information, as </w:t>
      </w:r>
      <w:r w:rsidR="004E6A17">
        <w:rPr>
          <w:rFonts w:ascii="Arial" w:hAnsi="Arial" w:cs="Arial"/>
        </w:rPr>
        <w:t xml:space="preserve">incorrectly </w:t>
      </w:r>
      <w:r w:rsidR="00D93E6F">
        <w:rPr>
          <w:rFonts w:ascii="Arial" w:hAnsi="Arial" w:cs="Arial"/>
        </w:rPr>
        <w:t>stated on the agenda circulated.</w:t>
      </w:r>
    </w:p>
    <w:p w14:paraId="2A7174B3" w14:textId="53DFCF43" w:rsidR="00A97D04" w:rsidRDefault="00D93E6F" w:rsidP="00B41E16">
      <w:pPr>
        <w:pStyle w:val="ListParagraph"/>
        <w:spacing w:after="120" w:line="360" w:lineRule="auto"/>
        <w:ind w:left="0"/>
        <w:jc w:val="both"/>
        <w:rPr>
          <w:rFonts w:ascii="Arial" w:hAnsi="Arial" w:cs="Arial"/>
        </w:rPr>
      </w:pPr>
      <w:r>
        <w:rPr>
          <w:rFonts w:ascii="Arial" w:hAnsi="Arial" w:cs="Arial"/>
        </w:rPr>
        <w:t>Ms Bens</w:t>
      </w:r>
      <w:r w:rsidR="00FE3B36">
        <w:rPr>
          <w:rFonts w:ascii="Arial" w:hAnsi="Arial" w:cs="Arial"/>
        </w:rPr>
        <w:t>on outline</w:t>
      </w:r>
      <w:r w:rsidR="000245B5">
        <w:rPr>
          <w:rFonts w:ascii="Arial" w:hAnsi="Arial" w:cs="Arial"/>
        </w:rPr>
        <w:t>d</w:t>
      </w:r>
      <w:r w:rsidR="00FE3B36">
        <w:rPr>
          <w:rFonts w:ascii="Arial" w:hAnsi="Arial" w:cs="Arial"/>
        </w:rPr>
        <w:t xml:space="preserve"> the position of the Committee in relation to the proposal to include </w:t>
      </w:r>
      <w:proofErr w:type="gramStart"/>
      <w:r w:rsidR="00FE3B36">
        <w:rPr>
          <w:rFonts w:ascii="Arial" w:hAnsi="Arial" w:cs="Arial"/>
        </w:rPr>
        <w:t>Child Care</w:t>
      </w:r>
      <w:proofErr w:type="gramEnd"/>
      <w:r w:rsidR="00FE3B36">
        <w:rPr>
          <w:rFonts w:ascii="Arial" w:hAnsi="Arial" w:cs="Arial"/>
        </w:rPr>
        <w:t xml:space="preserve"> under the remit </w:t>
      </w:r>
      <w:r w:rsidR="00A97D04">
        <w:rPr>
          <w:rFonts w:ascii="Arial" w:hAnsi="Arial" w:cs="Arial"/>
        </w:rPr>
        <w:t xml:space="preserve">of the existing Family Law Court Development Committee. The strong view of the Committee is that while there is some crossover, a separate committee of the Board would be required to deal with </w:t>
      </w:r>
      <w:proofErr w:type="gramStart"/>
      <w:r w:rsidR="00A97D04">
        <w:rPr>
          <w:rFonts w:ascii="Arial" w:hAnsi="Arial" w:cs="Arial"/>
        </w:rPr>
        <w:t>Child Care</w:t>
      </w:r>
      <w:proofErr w:type="gramEnd"/>
      <w:r w:rsidR="00A97D04">
        <w:rPr>
          <w:rFonts w:ascii="Arial" w:hAnsi="Arial" w:cs="Arial"/>
        </w:rPr>
        <w:t xml:space="preserve">. The Committee expressed concern that there is not sufficient expertise on the Committee to deal with </w:t>
      </w:r>
      <w:proofErr w:type="gramStart"/>
      <w:r w:rsidR="00A97D04">
        <w:rPr>
          <w:rFonts w:ascii="Arial" w:hAnsi="Arial" w:cs="Arial"/>
        </w:rPr>
        <w:t>Child Care</w:t>
      </w:r>
      <w:proofErr w:type="gramEnd"/>
      <w:r w:rsidR="00A97D04">
        <w:rPr>
          <w:rFonts w:ascii="Arial" w:hAnsi="Arial" w:cs="Arial"/>
        </w:rPr>
        <w:t xml:space="preserve">. The Committee also expressed concerns that establishing a </w:t>
      </w:r>
      <w:proofErr w:type="gramStart"/>
      <w:r w:rsidR="00A97D04">
        <w:rPr>
          <w:rFonts w:ascii="Arial" w:hAnsi="Arial" w:cs="Arial"/>
        </w:rPr>
        <w:t>Child Care</w:t>
      </w:r>
      <w:proofErr w:type="gramEnd"/>
      <w:r w:rsidR="00A97D04">
        <w:rPr>
          <w:rFonts w:ascii="Arial" w:hAnsi="Arial" w:cs="Arial"/>
        </w:rPr>
        <w:t xml:space="preserve"> subgroup may lead to inefficiencies. </w:t>
      </w:r>
    </w:p>
    <w:p w14:paraId="0741A5E1" w14:textId="3FE2D5B5" w:rsidR="00D93E6F" w:rsidRDefault="00A97D04" w:rsidP="00B41E16">
      <w:pPr>
        <w:pStyle w:val="ListParagraph"/>
        <w:spacing w:after="120" w:line="360" w:lineRule="auto"/>
        <w:ind w:left="0"/>
        <w:jc w:val="both"/>
        <w:rPr>
          <w:rFonts w:ascii="Arial" w:hAnsi="Arial" w:cs="Arial"/>
        </w:rPr>
      </w:pPr>
      <w:r>
        <w:rPr>
          <w:rFonts w:ascii="Arial" w:hAnsi="Arial" w:cs="Arial"/>
        </w:rPr>
        <w:t xml:space="preserve">A lively discussion took place in relation to the impact of the Family Courts Bill. Under the draft legislation it is envisaged that </w:t>
      </w:r>
      <w:proofErr w:type="gramStart"/>
      <w:r>
        <w:rPr>
          <w:rFonts w:ascii="Arial" w:hAnsi="Arial" w:cs="Arial"/>
        </w:rPr>
        <w:t>Child Care</w:t>
      </w:r>
      <w:proofErr w:type="gramEnd"/>
      <w:r>
        <w:rPr>
          <w:rFonts w:ascii="Arial" w:hAnsi="Arial" w:cs="Arial"/>
        </w:rPr>
        <w:t xml:space="preserve"> will come under the Family Courts structure and the rules committee will deal with both Family Law and Child care. There were concerns expressed by Board members that another Committee dealing with similar subject matter may lead to conflicting decisions</w:t>
      </w:r>
      <w:r w:rsidR="004E6A17">
        <w:rPr>
          <w:rFonts w:ascii="Arial" w:hAnsi="Arial" w:cs="Arial"/>
        </w:rPr>
        <w:t>/recommendations to the Board</w:t>
      </w:r>
      <w:r>
        <w:rPr>
          <w:rFonts w:ascii="Arial" w:hAnsi="Arial" w:cs="Arial"/>
        </w:rPr>
        <w:t>.</w:t>
      </w:r>
    </w:p>
    <w:p w14:paraId="140B060B" w14:textId="77777777" w:rsidR="00E12424" w:rsidRDefault="00E12424" w:rsidP="00531009">
      <w:pPr>
        <w:pStyle w:val="ListParagraph"/>
        <w:spacing w:after="120" w:line="360" w:lineRule="auto"/>
        <w:ind w:left="0"/>
        <w:rPr>
          <w:rFonts w:ascii="Arial" w:hAnsi="Arial" w:cs="Arial"/>
        </w:rPr>
      </w:pPr>
    </w:p>
    <w:p w14:paraId="06E2ED9E" w14:textId="5146612E" w:rsidR="001F0E71" w:rsidRDefault="00A97D04" w:rsidP="00531009">
      <w:pPr>
        <w:pStyle w:val="ListParagraph"/>
        <w:spacing w:after="120" w:line="360" w:lineRule="auto"/>
        <w:ind w:left="0"/>
        <w:rPr>
          <w:rFonts w:ascii="Arial" w:hAnsi="Arial" w:cs="Arial"/>
        </w:rPr>
      </w:pPr>
      <w:r>
        <w:rPr>
          <w:rFonts w:ascii="Arial" w:hAnsi="Arial" w:cs="Arial"/>
        </w:rPr>
        <w:t xml:space="preserve">Ms Denning suggested an options paper be prepared </w:t>
      </w:r>
      <w:r w:rsidRPr="001D0795">
        <w:rPr>
          <w:rFonts w:ascii="Arial" w:hAnsi="Arial" w:cs="Arial"/>
        </w:rPr>
        <w:t xml:space="preserve">before the September Board meeting. Ms Denning will nominate someone to assist with the preparation of this (Action CSB </w:t>
      </w:r>
      <w:r w:rsidR="00ED6693" w:rsidRPr="001D0795">
        <w:rPr>
          <w:rFonts w:ascii="Arial" w:hAnsi="Arial" w:cs="Arial"/>
        </w:rPr>
        <w:t>26</w:t>
      </w:r>
      <w:r w:rsidRPr="001D0795">
        <w:rPr>
          <w:rFonts w:ascii="Arial" w:hAnsi="Arial" w:cs="Arial"/>
        </w:rPr>
        <w:t>/2024)</w:t>
      </w:r>
      <w:r w:rsidR="001D0795">
        <w:rPr>
          <w:rFonts w:ascii="Arial" w:hAnsi="Arial" w:cs="Arial"/>
        </w:rPr>
        <w:t>.</w:t>
      </w:r>
    </w:p>
    <w:p w14:paraId="07EB6139" w14:textId="77777777" w:rsidR="001F0E71" w:rsidRPr="00D045B4" w:rsidRDefault="001F0E71" w:rsidP="00FB443D">
      <w:pPr>
        <w:spacing w:after="0" w:line="360" w:lineRule="auto"/>
        <w:rPr>
          <w:rFonts w:ascii="Arial" w:hAnsi="Arial" w:cs="Arial"/>
          <w:b/>
          <w:bCs/>
          <w:lang w:val="en-US"/>
        </w:rPr>
      </w:pPr>
    </w:p>
    <w:p w14:paraId="418456DE" w14:textId="351B9866" w:rsidR="00D045B4" w:rsidRDefault="00D045B4" w:rsidP="00FB443D">
      <w:pPr>
        <w:spacing w:after="0" w:line="360" w:lineRule="auto"/>
        <w:rPr>
          <w:rFonts w:ascii="Arial" w:hAnsi="Arial" w:cs="Arial"/>
          <w:b/>
          <w:bCs/>
          <w:lang w:val="en-US"/>
        </w:rPr>
      </w:pPr>
      <w:r w:rsidRPr="00D045B4">
        <w:rPr>
          <w:rFonts w:ascii="Arial" w:hAnsi="Arial" w:cs="Arial"/>
          <w:b/>
          <w:bCs/>
          <w:lang w:val="en-US"/>
        </w:rPr>
        <w:t>Finance Committee Report</w:t>
      </w:r>
      <w:r w:rsidR="002F03B9">
        <w:rPr>
          <w:rFonts w:ascii="Arial" w:hAnsi="Arial" w:cs="Arial"/>
          <w:b/>
          <w:bCs/>
          <w:lang w:val="en-US"/>
        </w:rPr>
        <w:t xml:space="preserve"> (CSB 44</w:t>
      </w:r>
      <w:r w:rsidR="00793F32">
        <w:rPr>
          <w:rFonts w:ascii="Arial" w:hAnsi="Arial" w:cs="Arial"/>
          <w:b/>
          <w:bCs/>
          <w:lang w:val="en-US"/>
        </w:rPr>
        <w:t>/</w:t>
      </w:r>
      <w:r w:rsidR="002F03B9">
        <w:rPr>
          <w:rFonts w:ascii="Arial" w:hAnsi="Arial" w:cs="Arial"/>
          <w:b/>
          <w:bCs/>
          <w:lang w:val="en-US"/>
        </w:rPr>
        <w:t>2024)</w:t>
      </w:r>
    </w:p>
    <w:p w14:paraId="669D6D30" w14:textId="4072C40C" w:rsidR="001D0795" w:rsidRDefault="004E6A17" w:rsidP="00B41E16">
      <w:pPr>
        <w:spacing w:after="0" w:line="360" w:lineRule="auto"/>
        <w:jc w:val="both"/>
        <w:rPr>
          <w:rFonts w:ascii="Arial" w:hAnsi="Arial" w:cs="Arial"/>
          <w:lang w:val="en-US"/>
        </w:rPr>
      </w:pPr>
      <w:r w:rsidRPr="005730E9">
        <w:rPr>
          <w:rFonts w:ascii="Arial" w:hAnsi="Arial" w:cs="Arial"/>
          <w:lang w:val="en-US"/>
        </w:rPr>
        <w:t xml:space="preserve">The Chair of the Board, </w:t>
      </w:r>
      <w:proofErr w:type="spellStart"/>
      <w:r w:rsidRPr="005730E9">
        <w:rPr>
          <w:rFonts w:ascii="Arial" w:hAnsi="Arial" w:cs="Arial"/>
          <w:lang w:val="en-US"/>
        </w:rPr>
        <w:t>Ms</w:t>
      </w:r>
      <w:proofErr w:type="spellEnd"/>
      <w:r w:rsidRPr="005730E9">
        <w:rPr>
          <w:rFonts w:ascii="Arial" w:hAnsi="Arial" w:cs="Arial"/>
          <w:lang w:val="en-US"/>
        </w:rPr>
        <w:t xml:space="preserve"> Justice Dunne, presented the report</w:t>
      </w:r>
      <w:r w:rsidR="005730E9">
        <w:rPr>
          <w:rFonts w:ascii="Arial" w:hAnsi="Arial" w:cs="Arial"/>
          <w:lang w:val="en-US"/>
        </w:rPr>
        <w:t xml:space="preserve"> as circulated</w:t>
      </w:r>
      <w:r w:rsidRPr="005730E9">
        <w:rPr>
          <w:rFonts w:ascii="Arial" w:hAnsi="Arial" w:cs="Arial"/>
          <w:lang w:val="en-US"/>
        </w:rPr>
        <w:t xml:space="preserve"> in the absence of </w:t>
      </w:r>
      <w:r w:rsidR="005730E9" w:rsidRPr="005730E9">
        <w:rPr>
          <w:rFonts w:ascii="Arial" w:hAnsi="Arial" w:cs="Arial"/>
          <w:lang w:val="en-US"/>
        </w:rPr>
        <w:t xml:space="preserve">the Chair of the Finance Committee, </w:t>
      </w:r>
      <w:r w:rsidRPr="005730E9">
        <w:rPr>
          <w:rFonts w:ascii="Arial" w:hAnsi="Arial" w:cs="Arial"/>
          <w:lang w:val="en-US"/>
        </w:rPr>
        <w:t xml:space="preserve">President </w:t>
      </w:r>
      <w:r w:rsidR="005730E9" w:rsidRPr="005730E9">
        <w:rPr>
          <w:rFonts w:ascii="Arial" w:hAnsi="Arial" w:cs="Arial"/>
          <w:lang w:val="en-US"/>
        </w:rPr>
        <w:t>Birmingham</w:t>
      </w:r>
      <w:r w:rsidRPr="005730E9">
        <w:rPr>
          <w:rFonts w:ascii="Arial" w:hAnsi="Arial" w:cs="Arial"/>
          <w:lang w:val="en-US"/>
        </w:rPr>
        <w:t>.</w:t>
      </w:r>
    </w:p>
    <w:p w14:paraId="064123F3" w14:textId="40CA1BB5" w:rsidR="001F0E71" w:rsidRDefault="005730E9" w:rsidP="00B41E16">
      <w:pPr>
        <w:spacing w:after="120" w:line="360" w:lineRule="auto"/>
        <w:jc w:val="both"/>
        <w:rPr>
          <w:rFonts w:ascii="Arial" w:hAnsi="Arial" w:cs="Arial"/>
          <w:bCs/>
        </w:rPr>
      </w:pPr>
      <w:r w:rsidRPr="005730E9">
        <w:rPr>
          <w:rFonts w:ascii="Arial" w:eastAsia="Times New Roman" w:hAnsi="Arial" w:cs="Arial"/>
          <w:bCs/>
          <w:lang w:eastAsia="en-IE"/>
        </w:rPr>
        <w:t xml:space="preserve">The Chair noted that </w:t>
      </w:r>
      <w:r w:rsidR="002F03B9" w:rsidRPr="005730E9">
        <w:rPr>
          <w:rFonts w:ascii="Arial" w:eastAsia="Times New Roman" w:hAnsi="Arial" w:cs="Arial"/>
          <w:bCs/>
          <w:lang w:eastAsia="en-IE"/>
        </w:rPr>
        <w:t>the Finance Committee recommended the evaluation report for the appointment of Investment Manager Services to SSGA and their custodian Northern Trust Fiduciary Services (Ireland) Limited for approval by the Courts Service Board.  This was subsequently approved by the Board on 8</w:t>
      </w:r>
      <w:r w:rsidR="002F03B9" w:rsidRPr="005730E9">
        <w:rPr>
          <w:rFonts w:ascii="Arial" w:eastAsia="Times New Roman" w:hAnsi="Arial" w:cs="Arial"/>
          <w:bCs/>
          <w:vertAlign w:val="superscript"/>
          <w:lang w:eastAsia="en-IE"/>
        </w:rPr>
        <w:t>th</w:t>
      </w:r>
      <w:r w:rsidR="002F03B9" w:rsidRPr="005730E9">
        <w:rPr>
          <w:rFonts w:ascii="Arial" w:eastAsia="Times New Roman" w:hAnsi="Arial" w:cs="Arial"/>
          <w:bCs/>
          <w:lang w:eastAsia="en-IE"/>
        </w:rPr>
        <w:t xml:space="preserve"> April 2024- </w:t>
      </w:r>
      <w:r w:rsidR="002F03B9" w:rsidRPr="005730E9">
        <w:rPr>
          <w:rFonts w:ascii="Arial" w:hAnsi="Arial" w:cs="Arial"/>
          <w:bCs/>
        </w:rPr>
        <w:t>the Board approved the award of the Contract for the Provision of Investment Managers Services to State Street Global Advisors and their proposed custodian Northern Trust Fiduciary Services (Ireland) Limited.</w:t>
      </w:r>
      <w:r>
        <w:rPr>
          <w:rFonts w:ascii="Arial" w:hAnsi="Arial" w:cs="Arial"/>
          <w:bCs/>
        </w:rPr>
        <w:t xml:space="preserve"> There were no other items put before the Board at this time. </w:t>
      </w:r>
    </w:p>
    <w:p w14:paraId="7E81EBBC" w14:textId="77777777" w:rsidR="00531009" w:rsidRPr="00A56A21" w:rsidRDefault="00531009" w:rsidP="008C4889">
      <w:pPr>
        <w:spacing w:after="120" w:line="360" w:lineRule="auto"/>
        <w:rPr>
          <w:rFonts w:ascii="Arial" w:hAnsi="Arial" w:cs="Arial"/>
          <w:bCs/>
        </w:rPr>
      </w:pPr>
    </w:p>
    <w:p w14:paraId="4E8CF39D" w14:textId="73DD38E0" w:rsidR="003E6F60" w:rsidRPr="003E6F60" w:rsidRDefault="003E6F60" w:rsidP="008C4889">
      <w:pPr>
        <w:spacing w:after="120" w:line="360" w:lineRule="auto"/>
        <w:rPr>
          <w:rFonts w:ascii="Arial" w:hAnsi="Arial" w:cs="Arial"/>
          <w:b/>
          <w:bCs/>
          <w:lang w:val="en-US"/>
        </w:rPr>
      </w:pPr>
      <w:r w:rsidRPr="003E6F60">
        <w:rPr>
          <w:rFonts w:ascii="Arial" w:hAnsi="Arial" w:cs="Arial"/>
          <w:b/>
          <w:bCs/>
          <w:lang w:val="en-US"/>
        </w:rPr>
        <w:t>9.</w:t>
      </w:r>
      <w:r w:rsidRPr="003E6F60">
        <w:rPr>
          <w:rFonts w:ascii="Arial" w:hAnsi="Arial" w:cs="Arial"/>
          <w:b/>
          <w:bCs/>
          <w:lang w:val="en-US"/>
        </w:rPr>
        <w:tab/>
        <w:t>CEO Evaluation (VERBAL)</w:t>
      </w:r>
    </w:p>
    <w:p w14:paraId="4429F703" w14:textId="39230878" w:rsidR="005730E9" w:rsidRDefault="005730E9" w:rsidP="008C4889">
      <w:pPr>
        <w:spacing w:after="120" w:line="360" w:lineRule="auto"/>
        <w:rPr>
          <w:rFonts w:ascii="Arial" w:hAnsi="Arial" w:cs="Arial"/>
          <w:lang w:val="en-US"/>
        </w:rPr>
      </w:pPr>
      <w:r>
        <w:rPr>
          <w:rFonts w:ascii="Arial" w:hAnsi="Arial" w:cs="Arial"/>
          <w:lang w:val="en-US"/>
        </w:rPr>
        <w:t>This item was dealt with in private session</w:t>
      </w:r>
      <w:r w:rsidR="000B6775">
        <w:rPr>
          <w:rFonts w:ascii="Arial" w:hAnsi="Arial" w:cs="Arial"/>
          <w:lang w:val="en-US"/>
        </w:rPr>
        <w:t>.</w:t>
      </w:r>
    </w:p>
    <w:p w14:paraId="1157065C" w14:textId="77777777" w:rsidR="00D045B4" w:rsidRPr="001F5EE8" w:rsidRDefault="00D045B4" w:rsidP="008C4889">
      <w:pPr>
        <w:spacing w:after="120" w:line="360" w:lineRule="auto"/>
        <w:rPr>
          <w:rFonts w:ascii="Arial" w:hAnsi="Arial" w:cs="Arial"/>
          <w:b/>
          <w:bCs/>
        </w:rPr>
      </w:pPr>
    </w:p>
    <w:p w14:paraId="7E35643D" w14:textId="756FA61B" w:rsidR="003E6F60" w:rsidRDefault="003E6F60" w:rsidP="00630872">
      <w:pPr>
        <w:spacing w:after="120" w:line="360" w:lineRule="auto"/>
        <w:rPr>
          <w:rFonts w:ascii="Arial" w:hAnsi="Arial" w:cs="Arial"/>
          <w:b/>
          <w:bCs/>
        </w:rPr>
      </w:pPr>
      <w:r>
        <w:rPr>
          <w:rFonts w:ascii="Arial" w:hAnsi="Arial" w:cs="Arial"/>
          <w:b/>
          <w:bCs/>
        </w:rPr>
        <w:t>10</w:t>
      </w:r>
      <w:r w:rsidR="005740D2">
        <w:rPr>
          <w:rFonts w:ascii="Arial" w:hAnsi="Arial" w:cs="Arial"/>
          <w:b/>
          <w:bCs/>
        </w:rPr>
        <w:t xml:space="preserve">. </w:t>
      </w:r>
      <w:r w:rsidR="00D01B9C">
        <w:rPr>
          <w:rFonts w:ascii="Arial" w:hAnsi="Arial" w:cs="Arial"/>
          <w:b/>
          <w:bCs/>
        </w:rPr>
        <w:t>AOB</w:t>
      </w:r>
    </w:p>
    <w:p w14:paraId="5524786E" w14:textId="05262CF0" w:rsidR="00DC14A1" w:rsidRDefault="005730E9" w:rsidP="00B41E16">
      <w:pPr>
        <w:spacing w:after="120" w:line="360" w:lineRule="auto"/>
        <w:jc w:val="both"/>
        <w:rPr>
          <w:rFonts w:ascii="Arial" w:hAnsi="Arial" w:cs="Arial"/>
        </w:rPr>
      </w:pPr>
      <w:r w:rsidRPr="00DC14A1">
        <w:rPr>
          <w:rFonts w:ascii="Arial" w:hAnsi="Arial" w:cs="Arial"/>
        </w:rPr>
        <w:t>Ms Denning noted that some amendments</w:t>
      </w:r>
      <w:r w:rsidR="00DC14A1" w:rsidRPr="00DC14A1">
        <w:rPr>
          <w:rFonts w:ascii="Arial" w:hAnsi="Arial" w:cs="Arial"/>
        </w:rPr>
        <w:t xml:space="preserve"> to the Strategic Plan had been received from the Minister for Justice pursuant to section 7 of the Courts Service Act 1998. Ms Denning provided a summary of the proposed amendments, which included stronger references to support services and facilities for victims, </w:t>
      </w:r>
      <w:r w:rsidR="006355C1" w:rsidRPr="00DC14A1">
        <w:rPr>
          <w:rFonts w:ascii="Arial" w:hAnsi="Arial" w:cs="Arial"/>
        </w:rPr>
        <w:t xml:space="preserve">intermediaries register, stronger </w:t>
      </w:r>
      <w:r w:rsidR="00DC14A1" w:rsidRPr="00DC14A1">
        <w:rPr>
          <w:rFonts w:ascii="Arial" w:hAnsi="Arial" w:cs="Arial"/>
        </w:rPr>
        <w:t xml:space="preserve">references to the Family Courts </w:t>
      </w:r>
      <w:r w:rsidR="006355C1" w:rsidRPr="00DC14A1">
        <w:rPr>
          <w:rFonts w:ascii="Arial" w:hAnsi="Arial" w:cs="Arial"/>
        </w:rPr>
        <w:t>bill,</w:t>
      </w:r>
      <w:r w:rsidR="00DC14A1" w:rsidRPr="00DC14A1">
        <w:rPr>
          <w:rFonts w:ascii="Arial" w:hAnsi="Arial" w:cs="Arial"/>
        </w:rPr>
        <w:t xml:space="preserve"> an explicit reference to</w:t>
      </w:r>
      <w:r w:rsidR="006355C1" w:rsidRPr="00DC14A1">
        <w:rPr>
          <w:rFonts w:ascii="Arial" w:hAnsi="Arial" w:cs="Arial"/>
        </w:rPr>
        <w:t xml:space="preserve"> </w:t>
      </w:r>
      <w:r w:rsidR="00DC14A1" w:rsidRPr="00DC14A1">
        <w:rPr>
          <w:rFonts w:ascii="Arial" w:hAnsi="Arial" w:cs="Arial"/>
        </w:rPr>
        <w:t xml:space="preserve">increasing the use of </w:t>
      </w:r>
      <w:proofErr w:type="spellStart"/>
      <w:r w:rsidR="00DC14A1" w:rsidRPr="00DC14A1">
        <w:rPr>
          <w:rFonts w:ascii="Arial" w:hAnsi="Arial" w:cs="Arial"/>
        </w:rPr>
        <w:t>videolink</w:t>
      </w:r>
      <w:proofErr w:type="spellEnd"/>
      <w:r w:rsidR="00DC14A1">
        <w:rPr>
          <w:rFonts w:ascii="Arial" w:hAnsi="Arial" w:cs="Arial"/>
        </w:rPr>
        <w:t xml:space="preserve"> among others. The Board confirmed they were satisfied with the amendments. The amended Strategic Plan is to be circulated to the Board (Action </w:t>
      </w:r>
      <w:r w:rsidR="001F0E71">
        <w:rPr>
          <w:rFonts w:ascii="Arial" w:hAnsi="Arial" w:cs="Arial"/>
        </w:rPr>
        <w:t>28</w:t>
      </w:r>
      <w:r w:rsidR="00DC14A1">
        <w:rPr>
          <w:rFonts w:ascii="Arial" w:hAnsi="Arial" w:cs="Arial"/>
        </w:rPr>
        <w:t>/2024).</w:t>
      </w:r>
    </w:p>
    <w:p w14:paraId="16118BF4" w14:textId="48800E22" w:rsidR="00DC14A1" w:rsidRDefault="00DC14A1" w:rsidP="00B41E16">
      <w:pPr>
        <w:spacing w:after="120" w:line="360" w:lineRule="auto"/>
        <w:jc w:val="both"/>
        <w:rPr>
          <w:rFonts w:ascii="Arial" w:hAnsi="Arial" w:cs="Arial"/>
          <w:lang w:val="en-US"/>
        </w:rPr>
      </w:pPr>
      <w:r>
        <w:rPr>
          <w:rFonts w:ascii="Arial" w:hAnsi="Arial" w:cs="Arial"/>
          <w:lang w:val="en-US"/>
        </w:rPr>
        <w:t xml:space="preserve">On behalf of the Board, the Chair thanked President Birmingham for his work on the Board and the Finance Committee and she wished him well on his retirement. The Chair also noted that this was the last meeting of </w:t>
      </w:r>
      <w:proofErr w:type="spellStart"/>
      <w:r>
        <w:rPr>
          <w:rFonts w:ascii="Arial" w:hAnsi="Arial" w:cs="Arial"/>
          <w:lang w:val="en-US"/>
        </w:rPr>
        <w:t>Ms</w:t>
      </w:r>
      <w:proofErr w:type="spellEnd"/>
      <w:r>
        <w:rPr>
          <w:rFonts w:ascii="Arial" w:hAnsi="Arial" w:cs="Arial"/>
          <w:lang w:val="en-US"/>
        </w:rPr>
        <w:t xml:space="preserve"> Sara Phelan, Chair of the Bar Council. The Chair thanked </w:t>
      </w:r>
      <w:proofErr w:type="spellStart"/>
      <w:r>
        <w:rPr>
          <w:rFonts w:ascii="Arial" w:hAnsi="Arial" w:cs="Arial"/>
          <w:lang w:val="en-US"/>
        </w:rPr>
        <w:t>Ms</w:t>
      </w:r>
      <w:proofErr w:type="spellEnd"/>
      <w:r>
        <w:rPr>
          <w:rFonts w:ascii="Arial" w:hAnsi="Arial" w:cs="Arial"/>
          <w:lang w:val="en-US"/>
        </w:rPr>
        <w:t xml:space="preserve"> Phelan for her work on the Board during her tenure. </w:t>
      </w:r>
    </w:p>
    <w:p w14:paraId="7FF522D8" w14:textId="2DF5C934" w:rsidR="00DC14A1" w:rsidRPr="007C6583" w:rsidRDefault="00DC14A1" w:rsidP="00B41E16">
      <w:pPr>
        <w:spacing w:after="120" w:line="360" w:lineRule="auto"/>
        <w:jc w:val="both"/>
        <w:rPr>
          <w:rFonts w:ascii="Arial" w:hAnsi="Arial" w:cs="Arial"/>
          <w:lang w:val="en-US"/>
        </w:rPr>
      </w:pPr>
      <w:r>
        <w:rPr>
          <w:rFonts w:ascii="Arial" w:hAnsi="Arial" w:cs="Arial"/>
          <w:lang w:val="en-US"/>
        </w:rPr>
        <w:t xml:space="preserve">The Board conveyed condolences to the family of Judge Elizabeth </w:t>
      </w:r>
      <w:proofErr w:type="spellStart"/>
      <w:r>
        <w:rPr>
          <w:rFonts w:ascii="Arial" w:hAnsi="Arial" w:cs="Arial"/>
          <w:lang w:val="en-US"/>
        </w:rPr>
        <w:t>MacGrath</w:t>
      </w:r>
      <w:proofErr w:type="spellEnd"/>
      <w:r>
        <w:rPr>
          <w:rFonts w:ascii="Arial" w:hAnsi="Arial" w:cs="Arial"/>
          <w:lang w:val="en-US"/>
        </w:rPr>
        <w:t xml:space="preserve">, Judge of the District Court, who died in July. </w:t>
      </w:r>
    </w:p>
    <w:p w14:paraId="34C66894" w14:textId="77777777" w:rsidR="006355C1" w:rsidRPr="008556F7" w:rsidRDefault="006355C1" w:rsidP="00630872">
      <w:pPr>
        <w:spacing w:after="120" w:line="360" w:lineRule="auto"/>
        <w:rPr>
          <w:rFonts w:ascii="Arial" w:hAnsi="Arial" w:cs="Arial"/>
        </w:rPr>
      </w:pPr>
    </w:p>
    <w:sectPr w:rsidR="006355C1" w:rsidRPr="008556F7" w:rsidSect="00531009">
      <w:headerReference w:type="default" r:id="rId8"/>
      <w:pgSz w:w="11906" w:h="16838"/>
      <w:pgMar w:top="720" w:right="720" w:bottom="720" w:left="72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21F7" w14:textId="77777777" w:rsidR="0095128D" w:rsidRDefault="0095128D" w:rsidP="00146EB5">
      <w:pPr>
        <w:spacing w:after="0"/>
      </w:pPr>
      <w:r>
        <w:separator/>
      </w:r>
    </w:p>
  </w:endnote>
  <w:endnote w:type="continuationSeparator" w:id="0">
    <w:p w14:paraId="10B006EA" w14:textId="77777777" w:rsidR="0095128D" w:rsidRDefault="0095128D" w:rsidP="00146E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0AA7" w14:textId="77777777" w:rsidR="0095128D" w:rsidRDefault="0095128D" w:rsidP="00146EB5">
      <w:pPr>
        <w:spacing w:after="0"/>
      </w:pPr>
      <w:r>
        <w:separator/>
      </w:r>
    </w:p>
  </w:footnote>
  <w:footnote w:type="continuationSeparator" w:id="0">
    <w:p w14:paraId="0AA6ED9C" w14:textId="77777777" w:rsidR="0095128D" w:rsidRDefault="0095128D" w:rsidP="00146E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F027" w14:textId="310961F0" w:rsidR="00420D8B" w:rsidRPr="00850014" w:rsidRDefault="00206426" w:rsidP="00850014">
    <w:pPr>
      <w:pStyle w:val="Header"/>
      <w:tabs>
        <w:tab w:val="clear" w:pos="4513"/>
        <w:tab w:val="clear" w:pos="9026"/>
        <w:tab w:val="left" w:pos="7154"/>
      </w:tabs>
      <w:rPr>
        <w:rFonts w:ascii="Arial" w:hAnsi="Arial" w:cs="Arial"/>
        <w:b/>
        <w:bCs/>
        <w:sz w:val="24"/>
        <w:szCs w:val="24"/>
      </w:rPr>
    </w:pPr>
    <w:r w:rsidRPr="00850014">
      <w:rPr>
        <w:rFonts w:ascii="Arial" w:hAnsi="Arial" w:cs="Arial"/>
        <w:b/>
        <w:bCs/>
        <w:noProof/>
        <w:sz w:val="24"/>
        <w:szCs w:val="24"/>
      </w:rPr>
      <w:drawing>
        <wp:anchor distT="0" distB="0" distL="0" distR="0" simplePos="0" relativeHeight="251659264" behindDoc="1" locked="0" layoutInCell="1" allowOverlap="1" wp14:anchorId="4A45D748" wp14:editId="3C920E38">
          <wp:simplePos x="0" y="0"/>
          <wp:positionH relativeFrom="margin">
            <wp:posOffset>5593080</wp:posOffset>
          </wp:positionH>
          <wp:positionV relativeFrom="page">
            <wp:posOffset>14605</wp:posOffset>
          </wp:positionV>
          <wp:extent cx="875489" cy="582648"/>
          <wp:effectExtent l="0" t="0" r="1270" b="82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5489" cy="582648"/>
                  </a:xfrm>
                  <a:prstGeom prst="rect">
                    <a:avLst/>
                  </a:prstGeom>
                </pic:spPr>
              </pic:pic>
            </a:graphicData>
          </a:graphic>
          <wp14:sizeRelH relativeFrom="margin">
            <wp14:pctWidth>0</wp14:pctWidth>
          </wp14:sizeRelH>
          <wp14:sizeRelV relativeFrom="margin">
            <wp14:pctHeight>0</wp14:pctHeight>
          </wp14:sizeRelV>
        </wp:anchor>
      </w:drawing>
    </w:r>
    <w:r w:rsidR="00850014" w:rsidRPr="00850014">
      <w:rPr>
        <w:rFonts w:ascii="Arial" w:hAnsi="Arial" w:cs="Arial"/>
        <w:b/>
        <w:bCs/>
        <w:color w:val="006FAF"/>
        <w:sz w:val="24"/>
        <w:szCs w:val="24"/>
      </w:rPr>
      <w:t>Courts Service Board Meeting Minutes</w:t>
    </w:r>
    <w:r w:rsidR="00850014" w:rsidRPr="00850014">
      <w:rPr>
        <w:rFonts w:ascii="Arial" w:hAnsi="Arial" w:cs="Arial"/>
        <w:b/>
        <w:bCs/>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4F30"/>
    <w:multiLevelType w:val="hybridMultilevel"/>
    <w:tmpl w:val="3DB24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EB7883"/>
    <w:multiLevelType w:val="hybridMultilevel"/>
    <w:tmpl w:val="3C04D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9B83638"/>
    <w:multiLevelType w:val="hybridMultilevel"/>
    <w:tmpl w:val="13AAA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D3A585E"/>
    <w:multiLevelType w:val="hybridMultilevel"/>
    <w:tmpl w:val="DEB8C1B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BC65E6B"/>
    <w:multiLevelType w:val="hybridMultilevel"/>
    <w:tmpl w:val="93965EE0"/>
    <w:lvl w:ilvl="0" w:tplc="769A5EA0">
      <w:start w:val="4"/>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3FDC0C43"/>
    <w:multiLevelType w:val="hybridMultilevel"/>
    <w:tmpl w:val="4642D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6A00798"/>
    <w:multiLevelType w:val="hybridMultilevel"/>
    <w:tmpl w:val="0E7E4F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7716758">
    <w:abstractNumId w:val="4"/>
  </w:num>
  <w:num w:numId="2" w16cid:durableId="2121219336">
    <w:abstractNumId w:val="2"/>
  </w:num>
  <w:num w:numId="3" w16cid:durableId="710957743">
    <w:abstractNumId w:val="6"/>
  </w:num>
  <w:num w:numId="4" w16cid:durableId="1790510727">
    <w:abstractNumId w:val="3"/>
  </w:num>
  <w:num w:numId="5" w16cid:durableId="887760631">
    <w:abstractNumId w:val="0"/>
  </w:num>
  <w:num w:numId="6" w16cid:durableId="228811950">
    <w:abstractNumId w:val="1"/>
  </w:num>
  <w:num w:numId="7" w16cid:durableId="751778870">
    <w:abstractNumId w:val="7"/>
  </w:num>
  <w:num w:numId="8" w16cid:durableId="240262005">
    <w:abstractNumId w:val="8"/>
  </w:num>
  <w:num w:numId="9" w16cid:durableId="75983374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6BC"/>
    <w:rsid w:val="00000B96"/>
    <w:rsid w:val="000022FA"/>
    <w:rsid w:val="00005BE3"/>
    <w:rsid w:val="00011251"/>
    <w:rsid w:val="00016527"/>
    <w:rsid w:val="000179BB"/>
    <w:rsid w:val="000245B5"/>
    <w:rsid w:val="0003177F"/>
    <w:rsid w:val="00035138"/>
    <w:rsid w:val="00035C53"/>
    <w:rsid w:val="00040B8E"/>
    <w:rsid w:val="000522C9"/>
    <w:rsid w:val="00052389"/>
    <w:rsid w:val="00053244"/>
    <w:rsid w:val="00054921"/>
    <w:rsid w:val="0005564B"/>
    <w:rsid w:val="00060865"/>
    <w:rsid w:val="000627BA"/>
    <w:rsid w:val="00065D61"/>
    <w:rsid w:val="00065F20"/>
    <w:rsid w:val="000668DD"/>
    <w:rsid w:val="0007090A"/>
    <w:rsid w:val="00071BC6"/>
    <w:rsid w:val="00072DAB"/>
    <w:rsid w:val="000817EE"/>
    <w:rsid w:val="00084988"/>
    <w:rsid w:val="00084EEB"/>
    <w:rsid w:val="0009285F"/>
    <w:rsid w:val="000953F0"/>
    <w:rsid w:val="000A0EC0"/>
    <w:rsid w:val="000A1C24"/>
    <w:rsid w:val="000B0560"/>
    <w:rsid w:val="000B4BD5"/>
    <w:rsid w:val="000B6775"/>
    <w:rsid w:val="000C0ED2"/>
    <w:rsid w:val="000C174C"/>
    <w:rsid w:val="000C391A"/>
    <w:rsid w:val="000D1DAE"/>
    <w:rsid w:val="000D2375"/>
    <w:rsid w:val="000D2BB7"/>
    <w:rsid w:val="000D4FE5"/>
    <w:rsid w:val="000E2BC4"/>
    <w:rsid w:val="000E5732"/>
    <w:rsid w:val="001015D5"/>
    <w:rsid w:val="00103EE9"/>
    <w:rsid w:val="0010633D"/>
    <w:rsid w:val="00120496"/>
    <w:rsid w:val="00121407"/>
    <w:rsid w:val="001224BB"/>
    <w:rsid w:val="001244E5"/>
    <w:rsid w:val="00127C49"/>
    <w:rsid w:val="001303AE"/>
    <w:rsid w:val="00132EA3"/>
    <w:rsid w:val="00133B6A"/>
    <w:rsid w:val="00134C6C"/>
    <w:rsid w:val="00136ABD"/>
    <w:rsid w:val="00136C76"/>
    <w:rsid w:val="00143D51"/>
    <w:rsid w:val="00144E4F"/>
    <w:rsid w:val="00146EB5"/>
    <w:rsid w:val="001501A9"/>
    <w:rsid w:val="00150CAC"/>
    <w:rsid w:val="00161448"/>
    <w:rsid w:val="001622EB"/>
    <w:rsid w:val="00164B5F"/>
    <w:rsid w:val="00167C12"/>
    <w:rsid w:val="00174A1B"/>
    <w:rsid w:val="00176366"/>
    <w:rsid w:val="0018272F"/>
    <w:rsid w:val="00186DD5"/>
    <w:rsid w:val="00187C99"/>
    <w:rsid w:val="00191A4D"/>
    <w:rsid w:val="00192C4C"/>
    <w:rsid w:val="00194336"/>
    <w:rsid w:val="00195B2C"/>
    <w:rsid w:val="0019692F"/>
    <w:rsid w:val="0019717C"/>
    <w:rsid w:val="001A0B6B"/>
    <w:rsid w:val="001A4967"/>
    <w:rsid w:val="001A59EE"/>
    <w:rsid w:val="001B0D3A"/>
    <w:rsid w:val="001C36C1"/>
    <w:rsid w:val="001C4428"/>
    <w:rsid w:val="001C71E0"/>
    <w:rsid w:val="001D0795"/>
    <w:rsid w:val="001D258E"/>
    <w:rsid w:val="001D3335"/>
    <w:rsid w:val="001E23BC"/>
    <w:rsid w:val="001E25DF"/>
    <w:rsid w:val="001E522E"/>
    <w:rsid w:val="001E5F19"/>
    <w:rsid w:val="001E62AF"/>
    <w:rsid w:val="001E6A3B"/>
    <w:rsid w:val="001F0A34"/>
    <w:rsid w:val="001F0E71"/>
    <w:rsid w:val="001F12DC"/>
    <w:rsid w:val="001F14DE"/>
    <w:rsid w:val="001F27D8"/>
    <w:rsid w:val="001F334B"/>
    <w:rsid w:val="001F364B"/>
    <w:rsid w:val="001F43D8"/>
    <w:rsid w:val="001F4CF2"/>
    <w:rsid w:val="001F519D"/>
    <w:rsid w:val="001F5EE8"/>
    <w:rsid w:val="001F6A52"/>
    <w:rsid w:val="00205A6B"/>
    <w:rsid w:val="00206426"/>
    <w:rsid w:val="00215875"/>
    <w:rsid w:val="00220C10"/>
    <w:rsid w:val="00231A77"/>
    <w:rsid w:val="00232E96"/>
    <w:rsid w:val="0023316D"/>
    <w:rsid w:val="00234273"/>
    <w:rsid w:val="00236DEA"/>
    <w:rsid w:val="002372C9"/>
    <w:rsid w:val="002416C8"/>
    <w:rsid w:val="00244285"/>
    <w:rsid w:val="00246C45"/>
    <w:rsid w:val="002479D7"/>
    <w:rsid w:val="00250B61"/>
    <w:rsid w:val="0025246A"/>
    <w:rsid w:val="00253561"/>
    <w:rsid w:val="00254BCF"/>
    <w:rsid w:val="00260635"/>
    <w:rsid w:val="0026072E"/>
    <w:rsid w:val="002653B2"/>
    <w:rsid w:val="002721BA"/>
    <w:rsid w:val="00275596"/>
    <w:rsid w:val="0027712F"/>
    <w:rsid w:val="00282626"/>
    <w:rsid w:val="00286A13"/>
    <w:rsid w:val="002903A2"/>
    <w:rsid w:val="00291F27"/>
    <w:rsid w:val="00295D08"/>
    <w:rsid w:val="00297A37"/>
    <w:rsid w:val="002A27DF"/>
    <w:rsid w:val="002A2BE4"/>
    <w:rsid w:val="002A3BEB"/>
    <w:rsid w:val="002A6841"/>
    <w:rsid w:val="002B0F44"/>
    <w:rsid w:val="002B1451"/>
    <w:rsid w:val="002B558D"/>
    <w:rsid w:val="002B5D7D"/>
    <w:rsid w:val="002B66EB"/>
    <w:rsid w:val="002B6F9F"/>
    <w:rsid w:val="002B763D"/>
    <w:rsid w:val="002B78B1"/>
    <w:rsid w:val="002C15F3"/>
    <w:rsid w:val="002C492C"/>
    <w:rsid w:val="002C5EBA"/>
    <w:rsid w:val="002D31DE"/>
    <w:rsid w:val="002E1545"/>
    <w:rsid w:val="002E2690"/>
    <w:rsid w:val="002E2CE5"/>
    <w:rsid w:val="002E5085"/>
    <w:rsid w:val="002E5208"/>
    <w:rsid w:val="002F03B9"/>
    <w:rsid w:val="002F149E"/>
    <w:rsid w:val="002F2361"/>
    <w:rsid w:val="002F2561"/>
    <w:rsid w:val="0030384E"/>
    <w:rsid w:val="003038F8"/>
    <w:rsid w:val="00305F13"/>
    <w:rsid w:val="00306965"/>
    <w:rsid w:val="003103F5"/>
    <w:rsid w:val="00315152"/>
    <w:rsid w:val="00316DFA"/>
    <w:rsid w:val="00320CCD"/>
    <w:rsid w:val="00322881"/>
    <w:rsid w:val="003246E9"/>
    <w:rsid w:val="00325122"/>
    <w:rsid w:val="00327E7B"/>
    <w:rsid w:val="00331310"/>
    <w:rsid w:val="0033209F"/>
    <w:rsid w:val="00332791"/>
    <w:rsid w:val="0033325C"/>
    <w:rsid w:val="003334E6"/>
    <w:rsid w:val="0033559C"/>
    <w:rsid w:val="00336D3F"/>
    <w:rsid w:val="003372CF"/>
    <w:rsid w:val="003437EB"/>
    <w:rsid w:val="0034394C"/>
    <w:rsid w:val="00347D69"/>
    <w:rsid w:val="00354BC7"/>
    <w:rsid w:val="00354D13"/>
    <w:rsid w:val="00363457"/>
    <w:rsid w:val="00363675"/>
    <w:rsid w:val="00364622"/>
    <w:rsid w:val="00365254"/>
    <w:rsid w:val="00366F3C"/>
    <w:rsid w:val="003735AD"/>
    <w:rsid w:val="00373799"/>
    <w:rsid w:val="003821CC"/>
    <w:rsid w:val="003851AD"/>
    <w:rsid w:val="0038712D"/>
    <w:rsid w:val="00391500"/>
    <w:rsid w:val="00394EC1"/>
    <w:rsid w:val="00396C01"/>
    <w:rsid w:val="003979D4"/>
    <w:rsid w:val="00397F2A"/>
    <w:rsid w:val="003A3AAC"/>
    <w:rsid w:val="003A4FC7"/>
    <w:rsid w:val="003A516D"/>
    <w:rsid w:val="003A76E3"/>
    <w:rsid w:val="003A7AA7"/>
    <w:rsid w:val="003B0879"/>
    <w:rsid w:val="003B45B0"/>
    <w:rsid w:val="003C2CA0"/>
    <w:rsid w:val="003C40AC"/>
    <w:rsid w:val="003C4E83"/>
    <w:rsid w:val="003D11D4"/>
    <w:rsid w:val="003E16F5"/>
    <w:rsid w:val="003E6B42"/>
    <w:rsid w:val="003E6F60"/>
    <w:rsid w:val="003E7016"/>
    <w:rsid w:val="003E72CB"/>
    <w:rsid w:val="003F2E2A"/>
    <w:rsid w:val="003F57C4"/>
    <w:rsid w:val="003F6484"/>
    <w:rsid w:val="0040655B"/>
    <w:rsid w:val="00413531"/>
    <w:rsid w:val="00413556"/>
    <w:rsid w:val="0041356F"/>
    <w:rsid w:val="00415226"/>
    <w:rsid w:val="00415885"/>
    <w:rsid w:val="00420D8B"/>
    <w:rsid w:val="00424954"/>
    <w:rsid w:val="00427DA2"/>
    <w:rsid w:val="0043117A"/>
    <w:rsid w:val="004314A6"/>
    <w:rsid w:val="00432ABE"/>
    <w:rsid w:val="004367F2"/>
    <w:rsid w:val="00436A10"/>
    <w:rsid w:val="00436C46"/>
    <w:rsid w:val="00440757"/>
    <w:rsid w:val="004418F2"/>
    <w:rsid w:val="00443F69"/>
    <w:rsid w:val="0045268B"/>
    <w:rsid w:val="0045342D"/>
    <w:rsid w:val="0045581B"/>
    <w:rsid w:val="00455849"/>
    <w:rsid w:val="0046203F"/>
    <w:rsid w:val="00462940"/>
    <w:rsid w:val="00463F0F"/>
    <w:rsid w:val="00467DFF"/>
    <w:rsid w:val="0047109A"/>
    <w:rsid w:val="004737AF"/>
    <w:rsid w:val="0047689F"/>
    <w:rsid w:val="00477B9E"/>
    <w:rsid w:val="00477CCB"/>
    <w:rsid w:val="00481BFE"/>
    <w:rsid w:val="00481E80"/>
    <w:rsid w:val="00482CEB"/>
    <w:rsid w:val="00483DA4"/>
    <w:rsid w:val="004871A4"/>
    <w:rsid w:val="00487C9A"/>
    <w:rsid w:val="00490B77"/>
    <w:rsid w:val="00495546"/>
    <w:rsid w:val="004A0E57"/>
    <w:rsid w:val="004A167D"/>
    <w:rsid w:val="004A6D02"/>
    <w:rsid w:val="004B12BD"/>
    <w:rsid w:val="004B2554"/>
    <w:rsid w:val="004B2EF9"/>
    <w:rsid w:val="004B477C"/>
    <w:rsid w:val="004B61BE"/>
    <w:rsid w:val="004B6A47"/>
    <w:rsid w:val="004C4BF6"/>
    <w:rsid w:val="004C50E7"/>
    <w:rsid w:val="004D175F"/>
    <w:rsid w:val="004D4A98"/>
    <w:rsid w:val="004D5664"/>
    <w:rsid w:val="004D77AC"/>
    <w:rsid w:val="004E1515"/>
    <w:rsid w:val="004E3CA1"/>
    <w:rsid w:val="004E59DF"/>
    <w:rsid w:val="004E6A17"/>
    <w:rsid w:val="004E6C03"/>
    <w:rsid w:val="004F099B"/>
    <w:rsid w:val="004F11EC"/>
    <w:rsid w:val="0050601C"/>
    <w:rsid w:val="00506D12"/>
    <w:rsid w:val="005072E7"/>
    <w:rsid w:val="00511A51"/>
    <w:rsid w:val="005121DC"/>
    <w:rsid w:val="005162F3"/>
    <w:rsid w:val="00522029"/>
    <w:rsid w:val="005245D7"/>
    <w:rsid w:val="00524BB1"/>
    <w:rsid w:val="00527B77"/>
    <w:rsid w:val="00527B99"/>
    <w:rsid w:val="00527D10"/>
    <w:rsid w:val="005300BF"/>
    <w:rsid w:val="00531009"/>
    <w:rsid w:val="005322BC"/>
    <w:rsid w:val="005328DD"/>
    <w:rsid w:val="00532F16"/>
    <w:rsid w:val="00534160"/>
    <w:rsid w:val="00535C1C"/>
    <w:rsid w:val="00544A8C"/>
    <w:rsid w:val="00545D3E"/>
    <w:rsid w:val="00551724"/>
    <w:rsid w:val="00552C46"/>
    <w:rsid w:val="0056677D"/>
    <w:rsid w:val="00567989"/>
    <w:rsid w:val="005730E9"/>
    <w:rsid w:val="005736F9"/>
    <w:rsid w:val="005740D2"/>
    <w:rsid w:val="00575F54"/>
    <w:rsid w:val="005805D9"/>
    <w:rsid w:val="00582A59"/>
    <w:rsid w:val="005842B5"/>
    <w:rsid w:val="005902B0"/>
    <w:rsid w:val="00591118"/>
    <w:rsid w:val="005918A7"/>
    <w:rsid w:val="00595EAC"/>
    <w:rsid w:val="00596EE3"/>
    <w:rsid w:val="005A2430"/>
    <w:rsid w:val="005A47CD"/>
    <w:rsid w:val="005A5036"/>
    <w:rsid w:val="005A6F2A"/>
    <w:rsid w:val="005B10BC"/>
    <w:rsid w:val="005B4A66"/>
    <w:rsid w:val="005B78D6"/>
    <w:rsid w:val="005C1DA2"/>
    <w:rsid w:val="005C59C5"/>
    <w:rsid w:val="005C62EA"/>
    <w:rsid w:val="005C7F1C"/>
    <w:rsid w:val="005E0368"/>
    <w:rsid w:val="005E0F64"/>
    <w:rsid w:val="005E2F1A"/>
    <w:rsid w:val="005E562B"/>
    <w:rsid w:val="005E616F"/>
    <w:rsid w:val="005F04AC"/>
    <w:rsid w:val="005F327C"/>
    <w:rsid w:val="005F407E"/>
    <w:rsid w:val="005F43A9"/>
    <w:rsid w:val="005F63B4"/>
    <w:rsid w:val="005F6D04"/>
    <w:rsid w:val="005F760C"/>
    <w:rsid w:val="005F7D86"/>
    <w:rsid w:val="00600DFC"/>
    <w:rsid w:val="006013C5"/>
    <w:rsid w:val="00604688"/>
    <w:rsid w:val="00604E1A"/>
    <w:rsid w:val="00605B71"/>
    <w:rsid w:val="00606DC8"/>
    <w:rsid w:val="00606EA9"/>
    <w:rsid w:val="00612C74"/>
    <w:rsid w:val="00614692"/>
    <w:rsid w:val="00617E33"/>
    <w:rsid w:val="0062343C"/>
    <w:rsid w:val="00627955"/>
    <w:rsid w:val="00630872"/>
    <w:rsid w:val="00631D6A"/>
    <w:rsid w:val="00634BEF"/>
    <w:rsid w:val="006355C1"/>
    <w:rsid w:val="00635D99"/>
    <w:rsid w:val="0063762C"/>
    <w:rsid w:val="00641AEC"/>
    <w:rsid w:val="00641E44"/>
    <w:rsid w:val="00641FEB"/>
    <w:rsid w:val="00642543"/>
    <w:rsid w:val="00642B53"/>
    <w:rsid w:val="006434EE"/>
    <w:rsid w:val="00644421"/>
    <w:rsid w:val="0064669D"/>
    <w:rsid w:val="00646EAC"/>
    <w:rsid w:val="00646F0D"/>
    <w:rsid w:val="00647A08"/>
    <w:rsid w:val="00654D03"/>
    <w:rsid w:val="00655B15"/>
    <w:rsid w:val="006570F6"/>
    <w:rsid w:val="00657EC9"/>
    <w:rsid w:val="006717DA"/>
    <w:rsid w:val="0067187A"/>
    <w:rsid w:val="00671C16"/>
    <w:rsid w:val="00672533"/>
    <w:rsid w:val="00675F1F"/>
    <w:rsid w:val="00676F0E"/>
    <w:rsid w:val="0068260E"/>
    <w:rsid w:val="006830F0"/>
    <w:rsid w:val="00683F29"/>
    <w:rsid w:val="006857AA"/>
    <w:rsid w:val="00685CC8"/>
    <w:rsid w:val="006906CF"/>
    <w:rsid w:val="00692741"/>
    <w:rsid w:val="00694447"/>
    <w:rsid w:val="00697A0E"/>
    <w:rsid w:val="00697F0A"/>
    <w:rsid w:val="006A020F"/>
    <w:rsid w:val="006A5945"/>
    <w:rsid w:val="006A5FB8"/>
    <w:rsid w:val="006B234D"/>
    <w:rsid w:val="006B2E04"/>
    <w:rsid w:val="006B4330"/>
    <w:rsid w:val="006B5510"/>
    <w:rsid w:val="006B6958"/>
    <w:rsid w:val="006B6A78"/>
    <w:rsid w:val="006C0217"/>
    <w:rsid w:val="006C073A"/>
    <w:rsid w:val="006C095B"/>
    <w:rsid w:val="006C4371"/>
    <w:rsid w:val="006D0083"/>
    <w:rsid w:val="006D0C3F"/>
    <w:rsid w:val="006D204E"/>
    <w:rsid w:val="006D35E6"/>
    <w:rsid w:val="006D4C0A"/>
    <w:rsid w:val="006D6A37"/>
    <w:rsid w:val="006E133B"/>
    <w:rsid w:val="006E1612"/>
    <w:rsid w:val="006E5CA2"/>
    <w:rsid w:val="006F1EBC"/>
    <w:rsid w:val="006F2AB1"/>
    <w:rsid w:val="006F6106"/>
    <w:rsid w:val="006F628C"/>
    <w:rsid w:val="006F7E30"/>
    <w:rsid w:val="007004C8"/>
    <w:rsid w:val="00702455"/>
    <w:rsid w:val="0070269F"/>
    <w:rsid w:val="00704D6B"/>
    <w:rsid w:val="00710CCE"/>
    <w:rsid w:val="00711E46"/>
    <w:rsid w:val="00711F53"/>
    <w:rsid w:val="007127E0"/>
    <w:rsid w:val="00717E8E"/>
    <w:rsid w:val="00722739"/>
    <w:rsid w:val="00723E0A"/>
    <w:rsid w:val="007246DA"/>
    <w:rsid w:val="00725FBC"/>
    <w:rsid w:val="00727290"/>
    <w:rsid w:val="00730499"/>
    <w:rsid w:val="007362E4"/>
    <w:rsid w:val="007363F6"/>
    <w:rsid w:val="0073693C"/>
    <w:rsid w:val="00741959"/>
    <w:rsid w:val="00742FD2"/>
    <w:rsid w:val="00744291"/>
    <w:rsid w:val="007463EF"/>
    <w:rsid w:val="00752E8F"/>
    <w:rsid w:val="00762E18"/>
    <w:rsid w:val="007644C0"/>
    <w:rsid w:val="007647BA"/>
    <w:rsid w:val="00767038"/>
    <w:rsid w:val="0076788C"/>
    <w:rsid w:val="00771118"/>
    <w:rsid w:val="00773BB9"/>
    <w:rsid w:val="00774CEC"/>
    <w:rsid w:val="007754B1"/>
    <w:rsid w:val="007771E4"/>
    <w:rsid w:val="00782562"/>
    <w:rsid w:val="00782DE6"/>
    <w:rsid w:val="00785828"/>
    <w:rsid w:val="00785EAC"/>
    <w:rsid w:val="0079042D"/>
    <w:rsid w:val="007906E4"/>
    <w:rsid w:val="007916DA"/>
    <w:rsid w:val="00792DBB"/>
    <w:rsid w:val="00793F32"/>
    <w:rsid w:val="007964FF"/>
    <w:rsid w:val="00797DF8"/>
    <w:rsid w:val="007A3CA6"/>
    <w:rsid w:val="007A413F"/>
    <w:rsid w:val="007A649A"/>
    <w:rsid w:val="007B280C"/>
    <w:rsid w:val="007B34A4"/>
    <w:rsid w:val="007B3AC4"/>
    <w:rsid w:val="007B52B1"/>
    <w:rsid w:val="007B5C05"/>
    <w:rsid w:val="007B6552"/>
    <w:rsid w:val="007C0C2F"/>
    <w:rsid w:val="007C6583"/>
    <w:rsid w:val="007C7E24"/>
    <w:rsid w:val="007D5E15"/>
    <w:rsid w:val="007D78C1"/>
    <w:rsid w:val="007E527E"/>
    <w:rsid w:val="007E548D"/>
    <w:rsid w:val="007F36B2"/>
    <w:rsid w:val="007F6D92"/>
    <w:rsid w:val="00800034"/>
    <w:rsid w:val="0080032A"/>
    <w:rsid w:val="00800F4E"/>
    <w:rsid w:val="0080146F"/>
    <w:rsid w:val="00810699"/>
    <w:rsid w:val="008117FF"/>
    <w:rsid w:val="00812993"/>
    <w:rsid w:val="008137F6"/>
    <w:rsid w:val="008161F5"/>
    <w:rsid w:val="00816922"/>
    <w:rsid w:val="00816F2C"/>
    <w:rsid w:val="0082239A"/>
    <w:rsid w:val="00826D94"/>
    <w:rsid w:val="008303F9"/>
    <w:rsid w:val="008305F0"/>
    <w:rsid w:val="008307D6"/>
    <w:rsid w:val="008340C8"/>
    <w:rsid w:val="008475F4"/>
    <w:rsid w:val="00850014"/>
    <w:rsid w:val="00851A8B"/>
    <w:rsid w:val="00852F29"/>
    <w:rsid w:val="00853B3D"/>
    <w:rsid w:val="008545DF"/>
    <w:rsid w:val="008556F7"/>
    <w:rsid w:val="008562CA"/>
    <w:rsid w:val="00857464"/>
    <w:rsid w:val="0085787A"/>
    <w:rsid w:val="008622A4"/>
    <w:rsid w:val="00862F6A"/>
    <w:rsid w:val="0086461F"/>
    <w:rsid w:val="00870DBA"/>
    <w:rsid w:val="00871B7E"/>
    <w:rsid w:val="008772F4"/>
    <w:rsid w:val="00881A2D"/>
    <w:rsid w:val="00882014"/>
    <w:rsid w:val="0088651B"/>
    <w:rsid w:val="00891D37"/>
    <w:rsid w:val="008939A5"/>
    <w:rsid w:val="008A4257"/>
    <w:rsid w:val="008A731A"/>
    <w:rsid w:val="008B4212"/>
    <w:rsid w:val="008B6B72"/>
    <w:rsid w:val="008B76C2"/>
    <w:rsid w:val="008C00B5"/>
    <w:rsid w:val="008C1A02"/>
    <w:rsid w:val="008C4889"/>
    <w:rsid w:val="008C4D9C"/>
    <w:rsid w:val="008D16C9"/>
    <w:rsid w:val="008D51C8"/>
    <w:rsid w:val="008D54FA"/>
    <w:rsid w:val="008D7242"/>
    <w:rsid w:val="008D79E0"/>
    <w:rsid w:val="008E77DE"/>
    <w:rsid w:val="008F0C0C"/>
    <w:rsid w:val="008F20E6"/>
    <w:rsid w:val="009009D6"/>
    <w:rsid w:val="00900F14"/>
    <w:rsid w:val="00902051"/>
    <w:rsid w:val="009041FF"/>
    <w:rsid w:val="00910746"/>
    <w:rsid w:val="00910AC6"/>
    <w:rsid w:val="009116A5"/>
    <w:rsid w:val="00911B8C"/>
    <w:rsid w:val="00911D23"/>
    <w:rsid w:val="00922C9C"/>
    <w:rsid w:val="00924AC8"/>
    <w:rsid w:val="0093029F"/>
    <w:rsid w:val="0093352E"/>
    <w:rsid w:val="0093439A"/>
    <w:rsid w:val="00934664"/>
    <w:rsid w:val="0094519C"/>
    <w:rsid w:val="0095128D"/>
    <w:rsid w:val="00952628"/>
    <w:rsid w:val="00952C61"/>
    <w:rsid w:val="00955326"/>
    <w:rsid w:val="00956648"/>
    <w:rsid w:val="00956B0D"/>
    <w:rsid w:val="00965296"/>
    <w:rsid w:val="0096539B"/>
    <w:rsid w:val="009657CE"/>
    <w:rsid w:val="00970130"/>
    <w:rsid w:val="00970B07"/>
    <w:rsid w:val="00971713"/>
    <w:rsid w:val="00982AFE"/>
    <w:rsid w:val="00984234"/>
    <w:rsid w:val="00984E18"/>
    <w:rsid w:val="00990DE2"/>
    <w:rsid w:val="00993C11"/>
    <w:rsid w:val="00996BD9"/>
    <w:rsid w:val="0099752A"/>
    <w:rsid w:val="009A0896"/>
    <w:rsid w:val="009A3D90"/>
    <w:rsid w:val="009B03ED"/>
    <w:rsid w:val="009B2349"/>
    <w:rsid w:val="009B2985"/>
    <w:rsid w:val="009B2F24"/>
    <w:rsid w:val="009B6042"/>
    <w:rsid w:val="009B6AF9"/>
    <w:rsid w:val="009C03BB"/>
    <w:rsid w:val="009C2BB7"/>
    <w:rsid w:val="009C79F0"/>
    <w:rsid w:val="009C7F5B"/>
    <w:rsid w:val="009D4A47"/>
    <w:rsid w:val="009D4D52"/>
    <w:rsid w:val="009E028F"/>
    <w:rsid w:val="009E78B3"/>
    <w:rsid w:val="009F356B"/>
    <w:rsid w:val="009F3CF5"/>
    <w:rsid w:val="009F563D"/>
    <w:rsid w:val="00A006EE"/>
    <w:rsid w:val="00A04D05"/>
    <w:rsid w:val="00A064CF"/>
    <w:rsid w:val="00A07758"/>
    <w:rsid w:val="00A07985"/>
    <w:rsid w:val="00A1047C"/>
    <w:rsid w:val="00A10DEE"/>
    <w:rsid w:val="00A156CE"/>
    <w:rsid w:val="00A16759"/>
    <w:rsid w:val="00A21552"/>
    <w:rsid w:val="00A26D80"/>
    <w:rsid w:val="00A275E9"/>
    <w:rsid w:val="00A31294"/>
    <w:rsid w:val="00A330CB"/>
    <w:rsid w:val="00A34EA9"/>
    <w:rsid w:val="00A35FA9"/>
    <w:rsid w:val="00A40F30"/>
    <w:rsid w:val="00A4156E"/>
    <w:rsid w:val="00A4159E"/>
    <w:rsid w:val="00A43659"/>
    <w:rsid w:val="00A453EC"/>
    <w:rsid w:val="00A45F6E"/>
    <w:rsid w:val="00A46B20"/>
    <w:rsid w:val="00A54F92"/>
    <w:rsid w:val="00A551B8"/>
    <w:rsid w:val="00A56A21"/>
    <w:rsid w:val="00A62374"/>
    <w:rsid w:val="00A63364"/>
    <w:rsid w:val="00A65EBE"/>
    <w:rsid w:val="00A72CA8"/>
    <w:rsid w:val="00A7373A"/>
    <w:rsid w:val="00A8025B"/>
    <w:rsid w:val="00A811D5"/>
    <w:rsid w:val="00A8148E"/>
    <w:rsid w:val="00A826C4"/>
    <w:rsid w:val="00A82828"/>
    <w:rsid w:val="00A90F3D"/>
    <w:rsid w:val="00A91D05"/>
    <w:rsid w:val="00A928F8"/>
    <w:rsid w:val="00A932FF"/>
    <w:rsid w:val="00A94A94"/>
    <w:rsid w:val="00A96448"/>
    <w:rsid w:val="00A96494"/>
    <w:rsid w:val="00A96923"/>
    <w:rsid w:val="00A9792D"/>
    <w:rsid w:val="00A97D04"/>
    <w:rsid w:val="00AA15EB"/>
    <w:rsid w:val="00AA2B17"/>
    <w:rsid w:val="00AA3343"/>
    <w:rsid w:val="00AA3DAB"/>
    <w:rsid w:val="00AA4B10"/>
    <w:rsid w:val="00AB30E5"/>
    <w:rsid w:val="00AB52D6"/>
    <w:rsid w:val="00AB79A4"/>
    <w:rsid w:val="00AC1481"/>
    <w:rsid w:val="00AC5264"/>
    <w:rsid w:val="00AD0266"/>
    <w:rsid w:val="00AD51AF"/>
    <w:rsid w:val="00AE2EBD"/>
    <w:rsid w:val="00AE3F24"/>
    <w:rsid w:val="00AE4975"/>
    <w:rsid w:val="00AE5147"/>
    <w:rsid w:val="00AE73A8"/>
    <w:rsid w:val="00AF0C39"/>
    <w:rsid w:val="00AF1473"/>
    <w:rsid w:val="00AF1B40"/>
    <w:rsid w:val="00AF22D3"/>
    <w:rsid w:val="00AF68E6"/>
    <w:rsid w:val="00AF784E"/>
    <w:rsid w:val="00B0288C"/>
    <w:rsid w:val="00B033E4"/>
    <w:rsid w:val="00B04B4B"/>
    <w:rsid w:val="00B10B16"/>
    <w:rsid w:val="00B10CE3"/>
    <w:rsid w:val="00B12A34"/>
    <w:rsid w:val="00B12E6E"/>
    <w:rsid w:val="00B12E93"/>
    <w:rsid w:val="00B14408"/>
    <w:rsid w:val="00B162B8"/>
    <w:rsid w:val="00B21DDC"/>
    <w:rsid w:val="00B23C6C"/>
    <w:rsid w:val="00B25113"/>
    <w:rsid w:val="00B25E1B"/>
    <w:rsid w:val="00B25E7F"/>
    <w:rsid w:val="00B264F5"/>
    <w:rsid w:val="00B311CA"/>
    <w:rsid w:val="00B31BDA"/>
    <w:rsid w:val="00B325A6"/>
    <w:rsid w:val="00B33266"/>
    <w:rsid w:val="00B364A4"/>
    <w:rsid w:val="00B40572"/>
    <w:rsid w:val="00B41E16"/>
    <w:rsid w:val="00B43008"/>
    <w:rsid w:val="00B50518"/>
    <w:rsid w:val="00B5344D"/>
    <w:rsid w:val="00B544E3"/>
    <w:rsid w:val="00B5549B"/>
    <w:rsid w:val="00B71B7B"/>
    <w:rsid w:val="00B74E5B"/>
    <w:rsid w:val="00B80E5E"/>
    <w:rsid w:val="00B81187"/>
    <w:rsid w:val="00B81B26"/>
    <w:rsid w:val="00B84943"/>
    <w:rsid w:val="00B8765A"/>
    <w:rsid w:val="00B949F7"/>
    <w:rsid w:val="00B975EC"/>
    <w:rsid w:val="00BA3018"/>
    <w:rsid w:val="00BA5C04"/>
    <w:rsid w:val="00BA5F6D"/>
    <w:rsid w:val="00BA74DD"/>
    <w:rsid w:val="00BA7997"/>
    <w:rsid w:val="00BB3E0A"/>
    <w:rsid w:val="00BB4A9A"/>
    <w:rsid w:val="00BC15D3"/>
    <w:rsid w:val="00BC1AE1"/>
    <w:rsid w:val="00BC67BC"/>
    <w:rsid w:val="00BC7ED9"/>
    <w:rsid w:val="00BD1262"/>
    <w:rsid w:val="00BD1C6E"/>
    <w:rsid w:val="00BD32AB"/>
    <w:rsid w:val="00BD43D8"/>
    <w:rsid w:val="00BD45C5"/>
    <w:rsid w:val="00BE0AFA"/>
    <w:rsid w:val="00BF05A9"/>
    <w:rsid w:val="00BF0FF6"/>
    <w:rsid w:val="00BF157C"/>
    <w:rsid w:val="00BF42FD"/>
    <w:rsid w:val="00BF66C0"/>
    <w:rsid w:val="00C06A09"/>
    <w:rsid w:val="00C076C9"/>
    <w:rsid w:val="00C11C5A"/>
    <w:rsid w:val="00C12C58"/>
    <w:rsid w:val="00C13316"/>
    <w:rsid w:val="00C32135"/>
    <w:rsid w:val="00C3250F"/>
    <w:rsid w:val="00C32CF7"/>
    <w:rsid w:val="00C37CE1"/>
    <w:rsid w:val="00C432EC"/>
    <w:rsid w:val="00C46435"/>
    <w:rsid w:val="00C51859"/>
    <w:rsid w:val="00C5453A"/>
    <w:rsid w:val="00C55D3F"/>
    <w:rsid w:val="00C57781"/>
    <w:rsid w:val="00C6243E"/>
    <w:rsid w:val="00C66F43"/>
    <w:rsid w:val="00C6780A"/>
    <w:rsid w:val="00C70F10"/>
    <w:rsid w:val="00C741FF"/>
    <w:rsid w:val="00C80E76"/>
    <w:rsid w:val="00C81A30"/>
    <w:rsid w:val="00C907B1"/>
    <w:rsid w:val="00C90957"/>
    <w:rsid w:val="00C94D02"/>
    <w:rsid w:val="00C96B53"/>
    <w:rsid w:val="00C97AE9"/>
    <w:rsid w:val="00CA30E0"/>
    <w:rsid w:val="00CA3F78"/>
    <w:rsid w:val="00CA453D"/>
    <w:rsid w:val="00CA5407"/>
    <w:rsid w:val="00CA70AC"/>
    <w:rsid w:val="00CB116E"/>
    <w:rsid w:val="00CB5DB4"/>
    <w:rsid w:val="00CB78F5"/>
    <w:rsid w:val="00CC05FF"/>
    <w:rsid w:val="00CC3C87"/>
    <w:rsid w:val="00CC5428"/>
    <w:rsid w:val="00CD19F0"/>
    <w:rsid w:val="00CD3982"/>
    <w:rsid w:val="00CD5559"/>
    <w:rsid w:val="00CD6865"/>
    <w:rsid w:val="00CD6D49"/>
    <w:rsid w:val="00CD765F"/>
    <w:rsid w:val="00CE7646"/>
    <w:rsid w:val="00CF21E4"/>
    <w:rsid w:val="00CF41C7"/>
    <w:rsid w:val="00CF5889"/>
    <w:rsid w:val="00CF711D"/>
    <w:rsid w:val="00CF7DCC"/>
    <w:rsid w:val="00D01B9C"/>
    <w:rsid w:val="00D045B4"/>
    <w:rsid w:val="00D061A3"/>
    <w:rsid w:val="00D14A89"/>
    <w:rsid w:val="00D16D2B"/>
    <w:rsid w:val="00D2010A"/>
    <w:rsid w:val="00D2207C"/>
    <w:rsid w:val="00D2311F"/>
    <w:rsid w:val="00D23E92"/>
    <w:rsid w:val="00D25027"/>
    <w:rsid w:val="00D27541"/>
    <w:rsid w:val="00D30FB1"/>
    <w:rsid w:val="00D314B0"/>
    <w:rsid w:val="00D31BB2"/>
    <w:rsid w:val="00D33587"/>
    <w:rsid w:val="00D33864"/>
    <w:rsid w:val="00D36B5D"/>
    <w:rsid w:val="00D36C8C"/>
    <w:rsid w:val="00D41A49"/>
    <w:rsid w:val="00D444D4"/>
    <w:rsid w:val="00D51141"/>
    <w:rsid w:val="00D53C7E"/>
    <w:rsid w:val="00D5515A"/>
    <w:rsid w:val="00D55FBF"/>
    <w:rsid w:val="00D57FCC"/>
    <w:rsid w:val="00D611E3"/>
    <w:rsid w:val="00D61A3B"/>
    <w:rsid w:val="00D62656"/>
    <w:rsid w:val="00D63913"/>
    <w:rsid w:val="00D6684B"/>
    <w:rsid w:val="00D708DD"/>
    <w:rsid w:val="00D71733"/>
    <w:rsid w:val="00D71845"/>
    <w:rsid w:val="00D7231E"/>
    <w:rsid w:val="00D872F9"/>
    <w:rsid w:val="00D93E6F"/>
    <w:rsid w:val="00D94A84"/>
    <w:rsid w:val="00D95008"/>
    <w:rsid w:val="00D95EC6"/>
    <w:rsid w:val="00DA15E1"/>
    <w:rsid w:val="00DA1747"/>
    <w:rsid w:val="00DA41A3"/>
    <w:rsid w:val="00DA4548"/>
    <w:rsid w:val="00DA4ACF"/>
    <w:rsid w:val="00DA55F2"/>
    <w:rsid w:val="00DB6B27"/>
    <w:rsid w:val="00DC146C"/>
    <w:rsid w:val="00DC14A1"/>
    <w:rsid w:val="00DC6024"/>
    <w:rsid w:val="00DC6EA8"/>
    <w:rsid w:val="00DD18DE"/>
    <w:rsid w:val="00DD2652"/>
    <w:rsid w:val="00DE443A"/>
    <w:rsid w:val="00DE6027"/>
    <w:rsid w:val="00DE6DAA"/>
    <w:rsid w:val="00DF2AD3"/>
    <w:rsid w:val="00DF4457"/>
    <w:rsid w:val="00DF4E3E"/>
    <w:rsid w:val="00DF7832"/>
    <w:rsid w:val="00E01E15"/>
    <w:rsid w:val="00E02729"/>
    <w:rsid w:val="00E04B79"/>
    <w:rsid w:val="00E07BB8"/>
    <w:rsid w:val="00E10890"/>
    <w:rsid w:val="00E10E0B"/>
    <w:rsid w:val="00E12424"/>
    <w:rsid w:val="00E12C31"/>
    <w:rsid w:val="00E16010"/>
    <w:rsid w:val="00E209A0"/>
    <w:rsid w:val="00E218BD"/>
    <w:rsid w:val="00E21CAF"/>
    <w:rsid w:val="00E235D9"/>
    <w:rsid w:val="00E336B0"/>
    <w:rsid w:val="00E34766"/>
    <w:rsid w:val="00E376A5"/>
    <w:rsid w:val="00E4086F"/>
    <w:rsid w:val="00E408C5"/>
    <w:rsid w:val="00E57357"/>
    <w:rsid w:val="00E60F54"/>
    <w:rsid w:val="00E61975"/>
    <w:rsid w:val="00E667E7"/>
    <w:rsid w:val="00E66B29"/>
    <w:rsid w:val="00E67C4A"/>
    <w:rsid w:val="00E70CEA"/>
    <w:rsid w:val="00E7275D"/>
    <w:rsid w:val="00E741A7"/>
    <w:rsid w:val="00E8073E"/>
    <w:rsid w:val="00E900BB"/>
    <w:rsid w:val="00E92665"/>
    <w:rsid w:val="00E96189"/>
    <w:rsid w:val="00EA18AE"/>
    <w:rsid w:val="00EA3F93"/>
    <w:rsid w:val="00EA4F0C"/>
    <w:rsid w:val="00EA7CC8"/>
    <w:rsid w:val="00EB0CB6"/>
    <w:rsid w:val="00EB774B"/>
    <w:rsid w:val="00EC1D59"/>
    <w:rsid w:val="00ED05C6"/>
    <w:rsid w:val="00ED0778"/>
    <w:rsid w:val="00ED6693"/>
    <w:rsid w:val="00EE08F5"/>
    <w:rsid w:val="00EE1EDF"/>
    <w:rsid w:val="00EE570B"/>
    <w:rsid w:val="00EE73D8"/>
    <w:rsid w:val="00F013BB"/>
    <w:rsid w:val="00F02398"/>
    <w:rsid w:val="00F04399"/>
    <w:rsid w:val="00F04CF3"/>
    <w:rsid w:val="00F10DDF"/>
    <w:rsid w:val="00F13C83"/>
    <w:rsid w:val="00F155B8"/>
    <w:rsid w:val="00F26FA7"/>
    <w:rsid w:val="00F27A78"/>
    <w:rsid w:val="00F31D14"/>
    <w:rsid w:val="00F41FE8"/>
    <w:rsid w:val="00F420E6"/>
    <w:rsid w:val="00F42EBD"/>
    <w:rsid w:val="00F43542"/>
    <w:rsid w:val="00F4449A"/>
    <w:rsid w:val="00F477BC"/>
    <w:rsid w:val="00F47800"/>
    <w:rsid w:val="00F50AF3"/>
    <w:rsid w:val="00F56128"/>
    <w:rsid w:val="00F57461"/>
    <w:rsid w:val="00F60744"/>
    <w:rsid w:val="00F63830"/>
    <w:rsid w:val="00F63D99"/>
    <w:rsid w:val="00F722FB"/>
    <w:rsid w:val="00F72592"/>
    <w:rsid w:val="00F731EF"/>
    <w:rsid w:val="00F734E6"/>
    <w:rsid w:val="00F74F77"/>
    <w:rsid w:val="00F80BB4"/>
    <w:rsid w:val="00F81D30"/>
    <w:rsid w:val="00F81DAF"/>
    <w:rsid w:val="00F821E2"/>
    <w:rsid w:val="00F82B4C"/>
    <w:rsid w:val="00F83461"/>
    <w:rsid w:val="00F83478"/>
    <w:rsid w:val="00F84522"/>
    <w:rsid w:val="00F85B9E"/>
    <w:rsid w:val="00F9633C"/>
    <w:rsid w:val="00F966BE"/>
    <w:rsid w:val="00F969A9"/>
    <w:rsid w:val="00F96B21"/>
    <w:rsid w:val="00F97060"/>
    <w:rsid w:val="00FA23FC"/>
    <w:rsid w:val="00FA4720"/>
    <w:rsid w:val="00FA731A"/>
    <w:rsid w:val="00FB240F"/>
    <w:rsid w:val="00FB443D"/>
    <w:rsid w:val="00FB4CA5"/>
    <w:rsid w:val="00FB4DCC"/>
    <w:rsid w:val="00FB6270"/>
    <w:rsid w:val="00FB7057"/>
    <w:rsid w:val="00FC0C83"/>
    <w:rsid w:val="00FC1103"/>
    <w:rsid w:val="00FC4480"/>
    <w:rsid w:val="00FD0A1B"/>
    <w:rsid w:val="00FD4AC5"/>
    <w:rsid w:val="00FD4FB3"/>
    <w:rsid w:val="00FD664F"/>
    <w:rsid w:val="00FD73EF"/>
    <w:rsid w:val="00FE115A"/>
    <w:rsid w:val="00FE21C3"/>
    <w:rsid w:val="00FE232E"/>
    <w:rsid w:val="00FE2F1D"/>
    <w:rsid w:val="00FE33F5"/>
    <w:rsid w:val="00FE3B36"/>
    <w:rsid w:val="00FE5B85"/>
    <w:rsid w:val="00FF60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0A"/>
    <w:rPr>
      <w:lang w:val="en-GB"/>
    </w:rPr>
  </w:style>
  <w:style w:type="paragraph" w:styleId="Heading1">
    <w:name w:val="heading 1"/>
    <w:basedOn w:val="Normal"/>
    <w:link w:val="Heading1Char"/>
    <w:uiPriority w:val="9"/>
    <w:qFormat/>
    <w:rsid w:val="00AA3DAB"/>
    <w:pPr>
      <w:widowControl w:val="0"/>
      <w:autoSpaceDE w:val="0"/>
      <w:autoSpaceDN w:val="0"/>
      <w:spacing w:before="86" w:after="0"/>
      <w:ind w:left="1464"/>
      <w:outlineLvl w:val="0"/>
    </w:pPr>
    <w:rPr>
      <w:rFonts w:ascii="Arial" w:eastAsia="Arial" w:hAnsi="Arial"/>
      <w:sz w:val="44"/>
      <w:szCs w:val="4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
    <w:basedOn w:val="Normal"/>
    <w:link w:val="ListParagraphChar"/>
    <w:uiPriority w:val="34"/>
    <w:qFormat/>
    <w:rsid w:val="006906CF"/>
    <w:pPr>
      <w:ind w:left="720"/>
      <w:contextualSpacing/>
    </w:pPr>
  </w:style>
  <w:style w:type="table" w:styleId="TableGrid">
    <w:name w:val="Table Grid"/>
    <w:basedOn w:val="TableNormal"/>
    <w:uiPriority w:val="59"/>
    <w:rsid w:val="006906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spacing w:after="0"/>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spacing w:after="0"/>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val="en-IE" w:eastAsia="en-IE"/>
    </w:rPr>
  </w:style>
  <w:style w:type="paragraph" w:styleId="PlainText">
    <w:name w:val="Plain Text"/>
    <w:basedOn w:val="Normal"/>
    <w:link w:val="PlainTextChar"/>
    <w:uiPriority w:val="99"/>
    <w:unhideWhenUsed/>
    <w:rsid w:val="0088651B"/>
    <w:pPr>
      <w:spacing w:after="0"/>
    </w:pPr>
    <w:rPr>
      <w:rFonts w:ascii="Arial" w:hAnsi="Arial"/>
      <w:szCs w:val="21"/>
      <w:lang w:val="en-IE"/>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after="0"/>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
    <w:link w:val="ListParagraph"/>
    <w:uiPriority w:val="34"/>
    <w:qFormat/>
    <w:locked/>
    <w:rsid w:val="00347D69"/>
    <w:rPr>
      <w:lang w:val="en-GB"/>
    </w:rPr>
  </w:style>
  <w:style w:type="paragraph" w:styleId="NoSpacing">
    <w:name w:val="No Spacing"/>
    <w:uiPriority w:val="1"/>
    <w:qFormat/>
    <w:rsid w:val="00F97060"/>
    <w:pPr>
      <w:widowControl w:val="0"/>
      <w:autoSpaceDE w:val="0"/>
      <w:autoSpaceDN w:val="0"/>
      <w:spacing w:after="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spacing w:after="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pPr>
      <w:spacing w:after="0"/>
    </w:pPr>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 w:type="character" w:customStyle="1" w:styleId="Heading1Char">
    <w:name w:val="Heading 1 Char"/>
    <w:basedOn w:val="DefaultParagraphFont"/>
    <w:link w:val="Heading1"/>
    <w:uiPriority w:val="9"/>
    <w:rsid w:val="00AA3DAB"/>
    <w:rPr>
      <w:rFonts w:ascii="Arial" w:eastAsia="Arial" w:hAnsi="Arial"/>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8956">
      <w:bodyDiv w:val="1"/>
      <w:marLeft w:val="0"/>
      <w:marRight w:val="0"/>
      <w:marTop w:val="0"/>
      <w:marBottom w:val="0"/>
      <w:divBdr>
        <w:top w:val="none" w:sz="0" w:space="0" w:color="auto"/>
        <w:left w:val="none" w:sz="0" w:space="0" w:color="auto"/>
        <w:bottom w:val="none" w:sz="0" w:space="0" w:color="auto"/>
        <w:right w:val="none" w:sz="0" w:space="0" w:color="auto"/>
      </w:divBdr>
    </w:div>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505822820">
      <w:bodyDiv w:val="1"/>
      <w:marLeft w:val="0"/>
      <w:marRight w:val="0"/>
      <w:marTop w:val="0"/>
      <w:marBottom w:val="0"/>
      <w:divBdr>
        <w:top w:val="none" w:sz="0" w:space="0" w:color="auto"/>
        <w:left w:val="none" w:sz="0" w:space="0" w:color="auto"/>
        <w:bottom w:val="none" w:sz="0" w:space="0" w:color="auto"/>
        <w:right w:val="none" w:sz="0" w:space="0" w:color="auto"/>
      </w:divBdr>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725254214">
      <w:bodyDiv w:val="1"/>
      <w:marLeft w:val="0"/>
      <w:marRight w:val="0"/>
      <w:marTop w:val="0"/>
      <w:marBottom w:val="0"/>
      <w:divBdr>
        <w:top w:val="none" w:sz="0" w:space="0" w:color="auto"/>
        <w:left w:val="none" w:sz="0" w:space="0" w:color="auto"/>
        <w:bottom w:val="none" w:sz="0" w:space="0" w:color="auto"/>
        <w:right w:val="none" w:sz="0" w:space="0" w:color="auto"/>
      </w:divBdr>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5A277-8D70-4E7E-8476-A0C9EC70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3933</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2024-09-30T13:50:00Z</dcterms:created>
  <dcterms:modified xsi:type="dcterms:W3CDTF">2024-09-30T14:09:00Z</dcterms:modified>
</cp:coreProperties>
</file>