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3E5" w:rsidRPr="00B413E5" w:rsidRDefault="00B413E5" w:rsidP="00B413E5">
      <w:pPr>
        <w:spacing w:after="0" w:line="240" w:lineRule="auto"/>
        <w:jc w:val="center"/>
        <w:rPr>
          <w:rFonts w:ascii="Verdana" w:eastAsia="Times New Roman" w:hAnsi="Verdana" w:cs="Times New Roman"/>
          <w:b/>
          <w:sz w:val="20"/>
          <w:szCs w:val="24"/>
          <w:lang w:eastAsia="en-GB"/>
        </w:rPr>
      </w:pPr>
      <w:bookmarkStart w:id="0" w:name="_GoBack"/>
      <w:bookmarkEnd w:id="0"/>
      <w:r w:rsidRPr="00B413E5">
        <w:rPr>
          <w:rFonts w:ascii="Verdana" w:eastAsia="Times New Roman" w:hAnsi="Verdana" w:cs="Times New Roman"/>
          <w:b/>
          <w:sz w:val="20"/>
          <w:szCs w:val="24"/>
          <w:lang w:eastAsia="en-GB"/>
        </w:rPr>
        <w:t>No. 31.12</w:t>
      </w:r>
    </w:p>
    <w:p w:rsidR="00B413E5" w:rsidRPr="00B413E5" w:rsidRDefault="00B413E5" w:rsidP="00B413E5">
      <w:pPr>
        <w:spacing w:after="0" w:line="240" w:lineRule="auto"/>
        <w:jc w:val="right"/>
        <w:rPr>
          <w:rFonts w:ascii="Verdana" w:eastAsia="Times New Roman" w:hAnsi="Verdana" w:cs="Times New Roman"/>
          <w:sz w:val="20"/>
          <w:szCs w:val="24"/>
          <w:lang w:eastAsia="en-GB"/>
        </w:rPr>
      </w:pPr>
      <w:r w:rsidRPr="00B413E5">
        <w:rPr>
          <w:rFonts w:ascii="Verdana" w:eastAsia="Times New Roman" w:hAnsi="Verdana" w:cs="Times New Roman"/>
          <w:sz w:val="20"/>
          <w:szCs w:val="24"/>
          <w:lang w:eastAsia="en-GB"/>
        </w:rPr>
        <w:t>SCHEDULE B</w:t>
      </w:r>
    </w:p>
    <w:p w:rsidR="00B413E5" w:rsidRPr="00B413E5" w:rsidRDefault="00B413E5" w:rsidP="00B413E5">
      <w:pPr>
        <w:spacing w:after="0" w:line="240" w:lineRule="auto"/>
        <w:jc w:val="right"/>
        <w:rPr>
          <w:rFonts w:ascii="Verdana" w:eastAsia="Times New Roman" w:hAnsi="Verdana" w:cs="Times New Roman"/>
          <w:sz w:val="20"/>
          <w:szCs w:val="24"/>
          <w:lang w:eastAsia="en-GB"/>
        </w:rPr>
      </w:pPr>
      <w:r w:rsidRPr="00B413E5">
        <w:rPr>
          <w:rFonts w:ascii="Verdana" w:eastAsia="Times New Roman" w:hAnsi="Verdana" w:cs="Times New Roman"/>
          <w:sz w:val="20"/>
          <w:szCs w:val="24"/>
          <w:lang w:eastAsia="en-GB"/>
        </w:rPr>
        <w:t>O. 31. r. 9(1)</w:t>
      </w:r>
    </w:p>
    <w:p w:rsidR="00B413E5" w:rsidRPr="00B413E5" w:rsidRDefault="00B413E5" w:rsidP="00B413E5">
      <w:pPr>
        <w:spacing w:after="0" w:line="240" w:lineRule="auto"/>
        <w:jc w:val="both"/>
        <w:rPr>
          <w:rFonts w:ascii="Verdana" w:eastAsia="Times New Roman" w:hAnsi="Verdana" w:cs="Times New Roman"/>
          <w:sz w:val="20"/>
          <w:szCs w:val="24"/>
          <w:lang w:eastAsia="en-GB"/>
        </w:rPr>
      </w:pPr>
    </w:p>
    <w:p w:rsidR="00B413E5" w:rsidRPr="00B413E5" w:rsidRDefault="00B413E5" w:rsidP="00B413E5">
      <w:pPr>
        <w:spacing w:after="0" w:line="240" w:lineRule="auto"/>
        <w:jc w:val="center"/>
        <w:rPr>
          <w:rFonts w:ascii="Verdana" w:eastAsia="Times New Roman" w:hAnsi="Verdana" w:cs="Times New Roman"/>
          <w:b/>
          <w:sz w:val="20"/>
          <w:szCs w:val="24"/>
          <w:lang w:eastAsia="en-GB"/>
        </w:rPr>
      </w:pPr>
      <w:r w:rsidRPr="00B413E5">
        <w:rPr>
          <w:rFonts w:ascii="Verdana" w:eastAsia="Times New Roman" w:hAnsi="Verdana" w:cs="Times New Roman"/>
          <w:b/>
          <w:sz w:val="20"/>
          <w:szCs w:val="24"/>
          <w:lang w:eastAsia="en-GB"/>
        </w:rPr>
        <w:t>*Criminal Justice (Forensic Evidence and DNA Database System) Act 2014 (No. 11 of 2014) (the “Act of 2014”), Section *16, *25, *34, *35, *39, *56</w:t>
      </w:r>
    </w:p>
    <w:p w:rsidR="00B413E5" w:rsidRPr="00B413E5" w:rsidRDefault="00B413E5" w:rsidP="00B413E5">
      <w:pPr>
        <w:spacing w:after="0" w:line="240" w:lineRule="auto"/>
        <w:jc w:val="center"/>
        <w:rPr>
          <w:rFonts w:ascii="Verdana" w:eastAsia="Times New Roman" w:hAnsi="Verdana" w:cs="Times New Roman"/>
          <w:b/>
          <w:sz w:val="20"/>
          <w:szCs w:val="24"/>
          <w:lang w:eastAsia="en-GB"/>
        </w:rPr>
      </w:pPr>
    </w:p>
    <w:p w:rsidR="00B413E5" w:rsidRPr="00B413E5" w:rsidRDefault="00B413E5" w:rsidP="00B413E5">
      <w:pPr>
        <w:spacing w:after="0" w:line="240" w:lineRule="auto"/>
        <w:jc w:val="center"/>
        <w:rPr>
          <w:rFonts w:ascii="Verdana" w:eastAsia="Times New Roman" w:hAnsi="Verdana" w:cs="Times New Roman"/>
          <w:b/>
          <w:sz w:val="20"/>
          <w:szCs w:val="24"/>
          <w:lang w:eastAsia="en-GB"/>
        </w:rPr>
      </w:pPr>
      <w:r w:rsidRPr="00B413E5">
        <w:rPr>
          <w:rFonts w:ascii="Verdana" w:eastAsia="Times New Roman" w:hAnsi="Verdana" w:cs="Times New Roman"/>
          <w:b/>
          <w:sz w:val="20"/>
          <w:szCs w:val="24"/>
          <w:lang w:eastAsia="en-GB"/>
        </w:rPr>
        <w:t>*Criminal Justice (Mutual Assistance) Act 2008 (No. 7 of 2008)(the “Act of 2008”) Section *79A *79B</w:t>
      </w:r>
    </w:p>
    <w:p w:rsidR="00B413E5" w:rsidRPr="00B413E5" w:rsidRDefault="00B413E5" w:rsidP="00B413E5">
      <w:pPr>
        <w:spacing w:after="0" w:line="240" w:lineRule="auto"/>
        <w:jc w:val="center"/>
        <w:rPr>
          <w:rFonts w:ascii="Verdana" w:eastAsia="Times New Roman" w:hAnsi="Verdana" w:cs="Times New Roman"/>
          <w:b/>
          <w:sz w:val="20"/>
          <w:szCs w:val="24"/>
          <w:lang w:eastAsia="en-GB"/>
        </w:rPr>
      </w:pPr>
    </w:p>
    <w:p w:rsidR="00B413E5" w:rsidRPr="00B413E5" w:rsidRDefault="00B413E5" w:rsidP="00B413E5">
      <w:pPr>
        <w:spacing w:after="0" w:line="240" w:lineRule="auto"/>
        <w:jc w:val="center"/>
        <w:rPr>
          <w:rFonts w:ascii="Verdana" w:eastAsia="Times New Roman" w:hAnsi="Verdana" w:cs="Times New Roman"/>
          <w:b/>
          <w:sz w:val="20"/>
          <w:szCs w:val="24"/>
          <w:lang w:eastAsia="en-GB"/>
        </w:rPr>
      </w:pPr>
      <w:r w:rsidRPr="00B413E5">
        <w:rPr>
          <w:rFonts w:ascii="Verdana" w:eastAsia="Times New Roman" w:hAnsi="Verdana" w:cs="Times New Roman"/>
          <w:b/>
          <w:sz w:val="20"/>
          <w:szCs w:val="24"/>
          <w:lang w:eastAsia="en-GB"/>
        </w:rPr>
        <w:t>*International Criminal Court Act 2006 (No. 30 of 2006)(the “Act of 2006”), Section 50</w:t>
      </w:r>
    </w:p>
    <w:p w:rsidR="00B413E5" w:rsidRPr="00B413E5" w:rsidRDefault="00B413E5" w:rsidP="00B413E5">
      <w:pPr>
        <w:spacing w:after="0" w:line="240" w:lineRule="auto"/>
        <w:jc w:val="both"/>
        <w:rPr>
          <w:rFonts w:ascii="Verdana" w:eastAsia="Times New Roman" w:hAnsi="Verdana" w:cs="Times New Roman"/>
          <w:sz w:val="20"/>
          <w:szCs w:val="24"/>
          <w:lang w:eastAsia="en-GB"/>
        </w:rPr>
      </w:pPr>
    </w:p>
    <w:p w:rsidR="00B413E5" w:rsidRPr="00B413E5" w:rsidRDefault="00B413E5" w:rsidP="00B413E5">
      <w:pPr>
        <w:spacing w:after="0" w:line="240" w:lineRule="auto"/>
        <w:jc w:val="center"/>
        <w:rPr>
          <w:rFonts w:ascii="Verdana" w:eastAsia="Times New Roman" w:hAnsi="Verdana" w:cs="Times New Roman"/>
          <w:sz w:val="20"/>
          <w:szCs w:val="24"/>
          <w:lang w:eastAsia="en-GB"/>
        </w:rPr>
      </w:pPr>
      <w:r w:rsidRPr="00B413E5">
        <w:rPr>
          <w:rFonts w:ascii="Verdana" w:eastAsia="Times New Roman" w:hAnsi="Verdana" w:cs="Times New Roman"/>
          <w:b/>
          <w:sz w:val="20"/>
          <w:szCs w:val="24"/>
          <w:lang w:eastAsia="en-GB"/>
        </w:rPr>
        <w:t>Information</w:t>
      </w:r>
    </w:p>
    <w:p w:rsidR="00B413E5" w:rsidRPr="00B413E5" w:rsidRDefault="00B413E5" w:rsidP="00B413E5">
      <w:pPr>
        <w:spacing w:after="0" w:line="240" w:lineRule="auto"/>
        <w:jc w:val="both"/>
        <w:rPr>
          <w:rFonts w:ascii="Verdana" w:eastAsia="Times New Roman" w:hAnsi="Verdana" w:cs="Times New Roman"/>
          <w:sz w:val="20"/>
          <w:szCs w:val="24"/>
          <w:lang w:eastAsia="en-GB"/>
        </w:rPr>
      </w:pPr>
    </w:p>
    <w:p w:rsidR="00B413E5" w:rsidRPr="00B413E5" w:rsidRDefault="00B413E5" w:rsidP="00B413E5">
      <w:pPr>
        <w:spacing w:after="0" w:line="240" w:lineRule="auto"/>
        <w:jc w:val="both"/>
        <w:rPr>
          <w:rFonts w:ascii="Verdana" w:eastAsia="Times New Roman" w:hAnsi="Verdana" w:cs="Times New Roman"/>
          <w:b/>
          <w:sz w:val="20"/>
          <w:szCs w:val="24"/>
          <w:lang w:eastAsia="en-GB"/>
        </w:rPr>
      </w:pPr>
      <w:r w:rsidRPr="00B413E5">
        <w:rPr>
          <w:rFonts w:ascii="Verdana" w:eastAsia="Times New Roman" w:hAnsi="Verdana" w:cs="Times New Roman"/>
          <w:b/>
          <w:sz w:val="20"/>
          <w:szCs w:val="24"/>
          <w:lang w:eastAsia="en-GB"/>
        </w:rPr>
        <w:t>District Court Area of</w:t>
      </w:r>
      <w:r w:rsidRPr="00B413E5">
        <w:rPr>
          <w:rFonts w:ascii="Verdana" w:eastAsia="Times New Roman" w:hAnsi="Verdana" w:cs="Times New Roman"/>
          <w:b/>
          <w:sz w:val="20"/>
          <w:szCs w:val="24"/>
          <w:lang w:eastAsia="en-GB"/>
        </w:rPr>
        <w:tab/>
      </w:r>
      <w:r w:rsidRPr="00B413E5">
        <w:rPr>
          <w:rFonts w:ascii="Verdana" w:eastAsia="Times New Roman" w:hAnsi="Verdana" w:cs="Times New Roman"/>
          <w:b/>
          <w:sz w:val="20"/>
          <w:szCs w:val="24"/>
          <w:lang w:eastAsia="en-GB"/>
        </w:rPr>
        <w:tab/>
      </w:r>
      <w:r w:rsidRPr="00B413E5">
        <w:rPr>
          <w:rFonts w:ascii="Verdana" w:eastAsia="Times New Roman" w:hAnsi="Verdana" w:cs="Times New Roman"/>
          <w:b/>
          <w:sz w:val="20"/>
          <w:szCs w:val="24"/>
          <w:lang w:eastAsia="en-GB"/>
        </w:rPr>
        <w:tab/>
      </w:r>
      <w:r w:rsidRPr="00B413E5">
        <w:rPr>
          <w:rFonts w:ascii="Verdana" w:eastAsia="Times New Roman" w:hAnsi="Verdana" w:cs="Times New Roman"/>
          <w:b/>
          <w:sz w:val="20"/>
          <w:szCs w:val="24"/>
          <w:lang w:eastAsia="en-GB"/>
        </w:rPr>
        <w:tab/>
      </w:r>
      <w:r w:rsidRPr="00B413E5">
        <w:rPr>
          <w:rFonts w:ascii="Verdana" w:eastAsia="Times New Roman" w:hAnsi="Verdana" w:cs="Times New Roman"/>
          <w:b/>
          <w:sz w:val="20"/>
          <w:szCs w:val="24"/>
          <w:lang w:eastAsia="en-GB"/>
        </w:rPr>
        <w:tab/>
      </w:r>
      <w:r w:rsidRPr="00B413E5">
        <w:rPr>
          <w:rFonts w:ascii="Verdana" w:eastAsia="Times New Roman" w:hAnsi="Verdana" w:cs="Times New Roman"/>
          <w:b/>
          <w:sz w:val="20"/>
          <w:szCs w:val="24"/>
          <w:lang w:eastAsia="en-GB"/>
        </w:rPr>
        <w:tab/>
      </w:r>
      <w:r w:rsidRPr="00B413E5">
        <w:rPr>
          <w:rFonts w:ascii="Verdana" w:eastAsia="Times New Roman" w:hAnsi="Verdana" w:cs="Times New Roman"/>
          <w:b/>
          <w:sz w:val="20"/>
          <w:szCs w:val="24"/>
          <w:lang w:eastAsia="en-GB"/>
        </w:rPr>
        <w:tab/>
      </w:r>
      <w:r w:rsidRPr="00B413E5">
        <w:rPr>
          <w:rFonts w:ascii="Verdana" w:eastAsia="Times New Roman" w:hAnsi="Verdana" w:cs="Times New Roman"/>
          <w:b/>
          <w:sz w:val="20"/>
          <w:szCs w:val="24"/>
          <w:lang w:eastAsia="en-GB"/>
        </w:rPr>
        <w:tab/>
        <w:t>District No.</w:t>
      </w:r>
    </w:p>
    <w:p w:rsidR="00B413E5" w:rsidRPr="00B413E5" w:rsidRDefault="00B413E5" w:rsidP="00B413E5">
      <w:pPr>
        <w:spacing w:after="0" w:line="240" w:lineRule="auto"/>
        <w:jc w:val="both"/>
        <w:rPr>
          <w:rFonts w:ascii="Verdana" w:eastAsia="Times New Roman" w:hAnsi="Verdana" w:cs="Times New Roman"/>
          <w:sz w:val="20"/>
          <w:szCs w:val="24"/>
          <w:lang w:eastAsia="en-GB"/>
        </w:rPr>
      </w:pPr>
    </w:p>
    <w:p w:rsidR="00B413E5" w:rsidRPr="00B413E5" w:rsidRDefault="00B413E5" w:rsidP="00B413E5">
      <w:pPr>
        <w:spacing w:after="0" w:line="240" w:lineRule="auto"/>
        <w:jc w:val="both"/>
        <w:rPr>
          <w:rFonts w:ascii="Verdana" w:eastAsia="Times New Roman" w:hAnsi="Verdana" w:cs="Times New Roman"/>
          <w:sz w:val="20"/>
          <w:szCs w:val="24"/>
          <w:lang w:eastAsia="en-GB"/>
        </w:rPr>
      </w:pPr>
      <w:r w:rsidRPr="00B413E5">
        <w:rPr>
          <w:rFonts w:ascii="Verdana" w:eastAsia="Times New Roman" w:hAnsi="Verdana" w:cs="Times New Roman"/>
          <w:sz w:val="20"/>
          <w:szCs w:val="24"/>
          <w:lang w:eastAsia="en-GB"/>
        </w:rPr>
        <w:t>THE INFORMATION of............ of........ a member of the Garda Síochána</w:t>
      </w:r>
    </w:p>
    <w:p w:rsidR="00B413E5" w:rsidRPr="00B413E5" w:rsidRDefault="00B413E5" w:rsidP="00B413E5">
      <w:pPr>
        <w:spacing w:after="0" w:line="240" w:lineRule="auto"/>
        <w:jc w:val="both"/>
        <w:rPr>
          <w:rFonts w:ascii="Verdana" w:eastAsia="Times New Roman" w:hAnsi="Verdana" w:cs="Times New Roman"/>
          <w:sz w:val="20"/>
          <w:szCs w:val="24"/>
          <w:lang w:eastAsia="en-GB"/>
        </w:rPr>
      </w:pPr>
    </w:p>
    <w:p w:rsidR="00B413E5" w:rsidRPr="00B413E5" w:rsidRDefault="00B413E5" w:rsidP="00B413E5">
      <w:pPr>
        <w:spacing w:after="0" w:line="240" w:lineRule="auto"/>
        <w:jc w:val="both"/>
        <w:rPr>
          <w:rFonts w:ascii="Verdana" w:eastAsia="Times New Roman" w:hAnsi="Verdana" w:cs="Times New Roman"/>
          <w:sz w:val="20"/>
          <w:szCs w:val="24"/>
          <w:lang w:eastAsia="en-GB"/>
        </w:rPr>
      </w:pPr>
      <w:r w:rsidRPr="00B413E5">
        <w:rPr>
          <w:rFonts w:ascii="Verdana" w:eastAsia="Times New Roman" w:hAnsi="Verdana" w:cs="Times New Roman"/>
          <w:sz w:val="20"/>
          <w:szCs w:val="24"/>
          <w:lang w:eastAsia="en-GB"/>
        </w:rPr>
        <w:t>*not below the rank of inspector for an order authorising the taking of an intimate sample from a protected person in the circumstances mentioned in section 16(1) of the Act of 2014 *and of a member of the Garda Síochána not below the rank of inspector for a warrant under section 16(7) of the Act of 2014 authorising the detention of the protected person concerned for such further period as may be determined not exceeding 4 hours for the purpose of having an intimate sample taken from the protected person</w:t>
      </w:r>
    </w:p>
    <w:p w:rsidR="00B413E5" w:rsidRPr="00B413E5" w:rsidRDefault="00B413E5" w:rsidP="00B413E5">
      <w:pPr>
        <w:spacing w:after="0" w:line="240" w:lineRule="auto"/>
        <w:jc w:val="both"/>
        <w:rPr>
          <w:rFonts w:ascii="Verdana" w:eastAsia="Times New Roman" w:hAnsi="Verdana" w:cs="Times New Roman"/>
          <w:sz w:val="20"/>
          <w:szCs w:val="24"/>
          <w:lang w:eastAsia="en-GB"/>
        </w:rPr>
      </w:pPr>
    </w:p>
    <w:p w:rsidR="00B413E5" w:rsidRPr="00B413E5" w:rsidRDefault="00B413E5" w:rsidP="00B413E5">
      <w:pPr>
        <w:spacing w:after="0" w:line="240" w:lineRule="auto"/>
        <w:jc w:val="both"/>
        <w:rPr>
          <w:rFonts w:ascii="Verdana" w:eastAsia="Times New Roman" w:hAnsi="Verdana" w:cs="Times New Roman"/>
          <w:sz w:val="20"/>
          <w:szCs w:val="24"/>
          <w:lang w:eastAsia="en-GB"/>
        </w:rPr>
      </w:pPr>
      <w:r w:rsidRPr="00B413E5">
        <w:rPr>
          <w:rFonts w:ascii="Verdana" w:eastAsia="Times New Roman" w:hAnsi="Verdana" w:cs="Times New Roman"/>
          <w:sz w:val="20"/>
          <w:szCs w:val="24"/>
          <w:lang w:eastAsia="en-GB"/>
        </w:rPr>
        <w:t>*not below the rank of superintendent for a warrant under section 25(10) of the Act of 2014 for the arrest of a person and his or her detention in a Garda Síochána station for the purpose of having a second non-intimate sample taken from him or her</w:t>
      </w:r>
    </w:p>
    <w:p w:rsidR="00B413E5" w:rsidRPr="00B413E5" w:rsidRDefault="00B413E5" w:rsidP="00B413E5">
      <w:pPr>
        <w:spacing w:after="0" w:line="240" w:lineRule="auto"/>
        <w:jc w:val="both"/>
        <w:rPr>
          <w:rFonts w:ascii="Verdana" w:eastAsia="Times New Roman" w:hAnsi="Verdana" w:cs="Times New Roman"/>
          <w:sz w:val="20"/>
          <w:szCs w:val="24"/>
          <w:lang w:eastAsia="en-GB"/>
        </w:rPr>
      </w:pPr>
    </w:p>
    <w:p w:rsidR="00B413E5" w:rsidRPr="00B413E5" w:rsidRDefault="00B413E5" w:rsidP="00B413E5">
      <w:pPr>
        <w:spacing w:after="0" w:line="240" w:lineRule="auto"/>
        <w:jc w:val="both"/>
        <w:rPr>
          <w:rFonts w:ascii="Verdana" w:eastAsia="Times New Roman" w:hAnsi="Verdana" w:cs="Times New Roman"/>
          <w:sz w:val="20"/>
          <w:szCs w:val="24"/>
          <w:lang w:eastAsia="en-GB"/>
        </w:rPr>
      </w:pPr>
      <w:r w:rsidRPr="00B413E5">
        <w:rPr>
          <w:rFonts w:ascii="Verdana" w:eastAsia="Times New Roman" w:hAnsi="Verdana" w:cs="Times New Roman"/>
          <w:sz w:val="20"/>
          <w:szCs w:val="24"/>
          <w:lang w:eastAsia="en-GB"/>
        </w:rPr>
        <w:t>*not below the rank of superintendent for an order under section 34(6) of the Act of 2014 authorising the Garda Síochána to send a notice to a person requiring him or her to attend at a named Garda Síochána station on a day, and at a time of day or between times of day, specified in the notice for the purpose of having a sample under section 34 of the Act of 2014 taken from him or her</w:t>
      </w:r>
    </w:p>
    <w:p w:rsidR="00B413E5" w:rsidRPr="00B413E5" w:rsidRDefault="00B413E5" w:rsidP="00B413E5">
      <w:pPr>
        <w:spacing w:after="0" w:line="240" w:lineRule="auto"/>
        <w:jc w:val="both"/>
        <w:rPr>
          <w:rFonts w:ascii="Verdana" w:eastAsia="Times New Roman" w:hAnsi="Verdana" w:cs="Times New Roman"/>
          <w:sz w:val="20"/>
          <w:szCs w:val="24"/>
          <w:lang w:eastAsia="en-GB"/>
        </w:rPr>
      </w:pPr>
    </w:p>
    <w:p w:rsidR="00B413E5" w:rsidRPr="00B413E5" w:rsidRDefault="00B413E5" w:rsidP="00B413E5">
      <w:pPr>
        <w:spacing w:after="0" w:line="240" w:lineRule="auto"/>
        <w:jc w:val="both"/>
        <w:rPr>
          <w:rFonts w:ascii="Verdana" w:eastAsia="Times New Roman" w:hAnsi="Verdana" w:cs="Times New Roman"/>
          <w:sz w:val="20"/>
          <w:szCs w:val="24"/>
          <w:lang w:eastAsia="en-GB"/>
        </w:rPr>
      </w:pPr>
      <w:r w:rsidRPr="00B413E5">
        <w:rPr>
          <w:rFonts w:ascii="Verdana" w:eastAsia="Times New Roman" w:hAnsi="Verdana" w:cs="Times New Roman"/>
          <w:sz w:val="20"/>
          <w:szCs w:val="24"/>
          <w:lang w:eastAsia="en-GB"/>
        </w:rPr>
        <w:t>*not below the rank of superintendent for an order under section 35(5) of the Act of 2014 authorising the taking of a sample from the body of a deceased person for the purpose of generating a DNA profile in respect of the person to be entered in the reference index of the DNA Database System *and of member of the Garda Síochána not below the rank of superintendent for a warrant under section 35(7) of the Act of 2014 authorising the entry and search of a place where it is believed the body of the deceased person concerned is located, and if appropriate, the seizure of the body of that person, as necessary for the taking of the sample concerned</w:t>
      </w:r>
    </w:p>
    <w:p w:rsidR="00B413E5" w:rsidRPr="00B413E5" w:rsidRDefault="00B413E5" w:rsidP="00B413E5">
      <w:pPr>
        <w:spacing w:after="0" w:line="240" w:lineRule="auto"/>
        <w:jc w:val="both"/>
        <w:rPr>
          <w:rFonts w:ascii="Verdana" w:eastAsia="Times New Roman" w:hAnsi="Verdana" w:cs="Times New Roman"/>
          <w:sz w:val="20"/>
          <w:szCs w:val="24"/>
          <w:lang w:eastAsia="en-GB"/>
        </w:rPr>
      </w:pPr>
    </w:p>
    <w:p w:rsidR="00B413E5" w:rsidRPr="00B413E5" w:rsidRDefault="00B413E5" w:rsidP="00B413E5">
      <w:pPr>
        <w:spacing w:after="0" w:line="240" w:lineRule="auto"/>
        <w:jc w:val="both"/>
        <w:rPr>
          <w:rFonts w:ascii="Verdana" w:eastAsia="Times New Roman" w:hAnsi="Verdana" w:cs="Times New Roman"/>
          <w:sz w:val="20"/>
          <w:szCs w:val="24"/>
          <w:lang w:eastAsia="en-GB"/>
        </w:rPr>
      </w:pPr>
      <w:r w:rsidRPr="00B413E5">
        <w:rPr>
          <w:rFonts w:ascii="Verdana" w:eastAsia="Times New Roman" w:hAnsi="Verdana" w:cs="Times New Roman"/>
          <w:sz w:val="20"/>
          <w:szCs w:val="24"/>
          <w:lang w:eastAsia="en-GB"/>
        </w:rPr>
        <w:t>*not below the rank of superintendent for an order under section 39(4) of the Act of 2014 authorising the Garda Síochána to send a notice to a former offender requiring him or her to attend at a named Garda Síochána station on a day, and at a time of day or between times of day, specified in the notice for the purpose of having a second sample under section 34 of the Act of 2014 taken from him or her</w:t>
      </w:r>
    </w:p>
    <w:p w:rsidR="00B413E5" w:rsidRPr="00B413E5" w:rsidRDefault="00B413E5" w:rsidP="00B413E5">
      <w:pPr>
        <w:spacing w:after="0" w:line="240" w:lineRule="auto"/>
        <w:jc w:val="both"/>
        <w:rPr>
          <w:rFonts w:ascii="Verdana" w:eastAsia="Times New Roman" w:hAnsi="Verdana" w:cs="Times New Roman"/>
          <w:sz w:val="20"/>
          <w:szCs w:val="24"/>
          <w:lang w:eastAsia="en-GB"/>
        </w:rPr>
      </w:pPr>
    </w:p>
    <w:p w:rsidR="00B413E5" w:rsidRPr="00B413E5" w:rsidRDefault="00B413E5" w:rsidP="00B413E5">
      <w:pPr>
        <w:spacing w:after="0" w:line="240" w:lineRule="auto"/>
        <w:jc w:val="both"/>
        <w:rPr>
          <w:rFonts w:ascii="Verdana" w:eastAsia="Times New Roman" w:hAnsi="Verdana" w:cs="Times New Roman"/>
          <w:sz w:val="20"/>
          <w:szCs w:val="24"/>
          <w:lang w:eastAsia="en-GB"/>
        </w:rPr>
      </w:pPr>
      <w:r w:rsidRPr="00B413E5">
        <w:rPr>
          <w:rFonts w:ascii="Verdana" w:eastAsia="Times New Roman" w:hAnsi="Verdana" w:cs="Times New Roman"/>
          <w:sz w:val="20"/>
          <w:szCs w:val="24"/>
          <w:lang w:eastAsia="en-GB"/>
        </w:rPr>
        <w:t>*not below rank of inspector for an order under section 56(3) of the Act of 2014 authorising the taking of a sample under section 27, 29 or 48, of the Act of 2014 from a protected person in the circumstances referred to in section 54(4) or 54(7) of the Act of 2014</w:t>
      </w:r>
    </w:p>
    <w:p w:rsidR="00B413E5" w:rsidRPr="00B413E5" w:rsidRDefault="00B413E5" w:rsidP="00B413E5">
      <w:pPr>
        <w:spacing w:after="0" w:line="240" w:lineRule="auto"/>
        <w:jc w:val="both"/>
        <w:rPr>
          <w:rFonts w:ascii="Verdana" w:eastAsia="Times New Roman" w:hAnsi="Verdana" w:cs="Times New Roman"/>
          <w:sz w:val="20"/>
          <w:szCs w:val="24"/>
          <w:lang w:eastAsia="en-GB"/>
        </w:rPr>
      </w:pPr>
    </w:p>
    <w:p w:rsidR="00B413E5" w:rsidRPr="00B413E5" w:rsidRDefault="00B413E5" w:rsidP="00B413E5">
      <w:pPr>
        <w:spacing w:after="0" w:line="240" w:lineRule="auto"/>
        <w:jc w:val="both"/>
        <w:rPr>
          <w:rFonts w:ascii="Verdana" w:eastAsia="Times New Roman" w:hAnsi="Verdana" w:cs="Times New Roman"/>
          <w:sz w:val="20"/>
          <w:szCs w:val="24"/>
          <w:lang w:eastAsia="en-GB"/>
        </w:rPr>
      </w:pPr>
      <w:r w:rsidRPr="00B413E5">
        <w:rPr>
          <w:rFonts w:ascii="Verdana" w:eastAsia="Times New Roman" w:hAnsi="Verdana" w:cs="Times New Roman"/>
          <w:sz w:val="20"/>
          <w:szCs w:val="24"/>
          <w:lang w:eastAsia="en-GB"/>
        </w:rPr>
        <w:t xml:space="preserve">*not below the rank of superintendent for an order under section 79A(5) of the Act of 2008 (inserted by section 133 of the Act of 2014) (a) authorising the Garda Síochána to send a notice to the person concerned requiring him or her to attend at a named Garda </w:t>
      </w:r>
      <w:r w:rsidRPr="00B413E5">
        <w:rPr>
          <w:rFonts w:ascii="Verdana" w:eastAsia="Times New Roman" w:hAnsi="Verdana" w:cs="Times New Roman"/>
          <w:sz w:val="20"/>
          <w:szCs w:val="24"/>
          <w:lang w:eastAsia="en-GB"/>
        </w:rPr>
        <w:lastRenderedPageBreak/>
        <w:t>Síochána station on a day, and at a time of day or between times of day, specified in the notice for the purpose of having a DNA sample taken from him or her, and (b) in the event of his or her failure or refusal to comply with the notice, authorising the Garda Síochána to arrest the person concerned and detain him or her in a Garda Síochána station for a period not exceeding 4 hours from the time the person concerned is arrested for that purpose</w:t>
      </w:r>
    </w:p>
    <w:p w:rsidR="00B413E5" w:rsidRPr="00B413E5" w:rsidRDefault="00B413E5" w:rsidP="00B413E5">
      <w:pPr>
        <w:spacing w:after="0" w:line="240" w:lineRule="auto"/>
        <w:jc w:val="both"/>
        <w:rPr>
          <w:rFonts w:ascii="Verdana" w:eastAsia="Times New Roman" w:hAnsi="Verdana" w:cs="Times New Roman"/>
          <w:sz w:val="20"/>
          <w:szCs w:val="24"/>
          <w:lang w:eastAsia="en-GB"/>
        </w:rPr>
      </w:pPr>
    </w:p>
    <w:p w:rsidR="00B413E5" w:rsidRPr="00B413E5" w:rsidRDefault="00B413E5" w:rsidP="00B413E5">
      <w:pPr>
        <w:spacing w:after="0" w:line="240" w:lineRule="auto"/>
        <w:jc w:val="both"/>
        <w:rPr>
          <w:rFonts w:ascii="Verdana" w:eastAsia="Times New Roman" w:hAnsi="Verdana" w:cs="Times New Roman"/>
          <w:sz w:val="20"/>
          <w:szCs w:val="24"/>
          <w:lang w:eastAsia="en-GB"/>
        </w:rPr>
      </w:pPr>
      <w:r w:rsidRPr="00B413E5">
        <w:rPr>
          <w:rFonts w:ascii="Verdana" w:eastAsia="Times New Roman" w:hAnsi="Verdana" w:cs="Times New Roman"/>
          <w:sz w:val="20"/>
          <w:szCs w:val="24"/>
          <w:lang w:eastAsia="en-GB"/>
        </w:rPr>
        <w:t>*not below the rank of superintendent for an order under section 79A(16) of the Act of 2008 (inserted by section 133 of the Act of 2014) (a) authorising the Garda Síochána to send a notice to the person concerned requiring him or her to attend at a named Garda Síochána station on a day, and at a time of day or between times of day, specified in the notice for the purpose of having a second DNA sample taken from him or her, and (b) in the event of his or her failure to comply with the notice, authorising the Garda Síochána to arrest the person concerned and detain him or her in a Garda Síochána station for a period not exceeding 4 hours from the time the person concerned is arrested for that purpose</w:t>
      </w:r>
    </w:p>
    <w:p w:rsidR="00B413E5" w:rsidRPr="00B413E5" w:rsidRDefault="00B413E5" w:rsidP="00B413E5">
      <w:pPr>
        <w:spacing w:after="0" w:line="240" w:lineRule="auto"/>
        <w:jc w:val="both"/>
        <w:rPr>
          <w:rFonts w:ascii="Verdana" w:eastAsia="Times New Roman" w:hAnsi="Verdana" w:cs="Times New Roman"/>
          <w:sz w:val="20"/>
          <w:szCs w:val="24"/>
          <w:lang w:eastAsia="en-GB"/>
        </w:rPr>
      </w:pPr>
    </w:p>
    <w:p w:rsidR="00B413E5" w:rsidRPr="00B413E5" w:rsidRDefault="00B413E5" w:rsidP="00B413E5">
      <w:pPr>
        <w:spacing w:after="0" w:line="240" w:lineRule="auto"/>
        <w:jc w:val="both"/>
        <w:rPr>
          <w:rFonts w:ascii="Verdana" w:eastAsia="Times New Roman" w:hAnsi="Verdana" w:cs="Times New Roman"/>
          <w:sz w:val="20"/>
          <w:szCs w:val="24"/>
          <w:lang w:eastAsia="en-GB"/>
        </w:rPr>
      </w:pPr>
      <w:r w:rsidRPr="00B413E5">
        <w:rPr>
          <w:rFonts w:ascii="Verdana" w:eastAsia="Times New Roman" w:hAnsi="Verdana" w:cs="Times New Roman"/>
          <w:sz w:val="20"/>
          <w:szCs w:val="24"/>
          <w:lang w:eastAsia="en-GB"/>
        </w:rPr>
        <w:t>*not below the rank of inspector for an order under section 79B(6) of the Act of 2008 (inserted by section 134 of the Act of 2014) authorising the taking of the identification evidence concerned from the protected person</w:t>
      </w:r>
    </w:p>
    <w:p w:rsidR="00B413E5" w:rsidRPr="00B413E5" w:rsidRDefault="00B413E5" w:rsidP="00B413E5">
      <w:pPr>
        <w:spacing w:after="0" w:line="240" w:lineRule="auto"/>
        <w:jc w:val="both"/>
        <w:rPr>
          <w:rFonts w:ascii="Verdana" w:eastAsia="Times New Roman" w:hAnsi="Verdana" w:cs="Times New Roman"/>
          <w:sz w:val="20"/>
          <w:szCs w:val="24"/>
          <w:lang w:eastAsia="en-GB"/>
        </w:rPr>
      </w:pPr>
    </w:p>
    <w:p w:rsidR="00B413E5" w:rsidRPr="00B413E5" w:rsidRDefault="00B413E5" w:rsidP="00B413E5">
      <w:pPr>
        <w:spacing w:after="0" w:line="240" w:lineRule="auto"/>
        <w:jc w:val="both"/>
        <w:rPr>
          <w:rFonts w:ascii="Verdana" w:eastAsia="Times New Roman" w:hAnsi="Verdana" w:cs="Times New Roman"/>
          <w:sz w:val="20"/>
          <w:szCs w:val="24"/>
          <w:lang w:eastAsia="en-GB"/>
        </w:rPr>
      </w:pPr>
      <w:r w:rsidRPr="00B413E5">
        <w:rPr>
          <w:rFonts w:ascii="Verdana" w:eastAsia="Times New Roman" w:hAnsi="Verdana" w:cs="Times New Roman"/>
          <w:sz w:val="20"/>
          <w:szCs w:val="24"/>
          <w:lang w:eastAsia="en-GB"/>
        </w:rPr>
        <w:t>*not below the rank of inspector for an order under section 50A(6) of the Act of 2006 (inserted by section 140 of the Act of 2014) authorising the taking of the identification evidence concerned from the protected person, as the case may be</w:t>
      </w:r>
    </w:p>
    <w:p w:rsidR="00B413E5" w:rsidRPr="00B413E5" w:rsidRDefault="00B413E5" w:rsidP="00B413E5">
      <w:pPr>
        <w:spacing w:after="0" w:line="240" w:lineRule="auto"/>
        <w:jc w:val="both"/>
        <w:rPr>
          <w:rFonts w:ascii="Verdana" w:eastAsia="Times New Roman" w:hAnsi="Verdana" w:cs="Times New Roman"/>
          <w:sz w:val="20"/>
          <w:szCs w:val="24"/>
          <w:lang w:eastAsia="en-GB"/>
        </w:rPr>
      </w:pPr>
    </w:p>
    <w:p w:rsidR="00B413E5" w:rsidRPr="00B413E5" w:rsidRDefault="00B413E5" w:rsidP="00B413E5">
      <w:pPr>
        <w:spacing w:after="0" w:line="240" w:lineRule="auto"/>
        <w:jc w:val="both"/>
        <w:rPr>
          <w:rFonts w:ascii="Verdana" w:eastAsia="Times New Roman" w:hAnsi="Verdana" w:cs="Times New Roman"/>
          <w:sz w:val="20"/>
          <w:szCs w:val="24"/>
          <w:lang w:eastAsia="en-GB"/>
        </w:rPr>
      </w:pPr>
      <w:r w:rsidRPr="00B413E5">
        <w:rPr>
          <w:rFonts w:ascii="Verdana" w:eastAsia="Times New Roman" w:hAnsi="Verdana" w:cs="Times New Roman"/>
          <w:sz w:val="20"/>
          <w:szCs w:val="24"/>
          <w:lang w:eastAsia="en-GB"/>
        </w:rPr>
        <w:t>Who says on oath that—</w:t>
      </w:r>
    </w:p>
    <w:p w:rsidR="00B413E5" w:rsidRPr="00B413E5" w:rsidRDefault="00B413E5" w:rsidP="00B413E5">
      <w:pPr>
        <w:spacing w:after="0" w:line="240" w:lineRule="auto"/>
        <w:jc w:val="both"/>
        <w:rPr>
          <w:rFonts w:ascii="Verdana" w:eastAsia="Times New Roman" w:hAnsi="Verdana" w:cs="Times New Roman"/>
          <w:sz w:val="20"/>
          <w:szCs w:val="24"/>
          <w:lang w:eastAsia="en-GB"/>
        </w:rPr>
      </w:pPr>
    </w:p>
    <w:p w:rsidR="00B413E5" w:rsidRPr="00B413E5" w:rsidRDefault="00B413E5" w:rsidP="00B413E5">
      <w:pPr>
        <w:spacing w:after="0" w:line="240" w:lineRule="auto"/>
        <w:jc w:val="both"/>
        <w:rPr>
          <w:rFonts w:ascii="Verdana" w:eastAsia="Times New Roman" w:hAnsi="Verdana" w:cs="Times New Roman"/>
          <w:sz w:val="20"/>
          <w:szCs w:val="24"/>
          <w:lang w:eastAsia="en-GB"/>
        </w:rPr>
      </w:pPr>
      <w:r w:rsidRPr="00B413E5">
        <w:rPr>
          <w:rFonts w:ascii="Verdana" w:eastAsia="Times New Roman" w:hAnsi="Verdana" w:cs="Times New Roman"/>
          <w:sz w:val="20"/>
          <w:szCs w:val="24"/>
          <w:lang w:eastAsia="en-GB"/>
        </w:rPr>
        <w:t>1. I am a member of the Garda Síochána not below the rank of * superintendent/*inspector</w:t>
      </w:r>
    </w:p>
    <w:p w:rsidR="00B413E5" w:rsidRPr="00B413E5" w:rsidRDefault="00B413E5" w:rsidP="00B413E5">
      <w:pPr>
        <w:spacing w:after="0" w:line="240" w:lineRule="auto"/>
        <w:jc w:val="both"/>
        <w:rPr>
          <w:rFonts w:ascii="Verdana" w:eastAsia="Times New Roman" w:hAnsi="Verdana" w:cs="Times New Roman"/>
          <w:sz w:val="20"/>
          <w:szCs w:val="24"/>
          <w:lang w:eastAsia="en-GB"/>
        </w:rPr>
      </w:pPr>
    </w:p>
    <w:p w:rsidR="00B413E5" w:rsidRPr="00B413E5" w:rsidRDefault="00B413E5" w:rsidP="00B413E5">
      <w:pPr>
        <w:spacing w:after="0" w:line="240" w:lineRule="auto"/>
        <w:jc w:val="both"/>
        <w:rPr>
          <w:rFonts w:ascii="Verdana" w:eastAsia="Times New Roman" w:hAnsi="Verdana" w:cs="Times New Roman"/>
          <w:sz w:val="20"/>
          <w:szCs w:val="24"/>
          <w:lang w:eastAsia="en-GB"/>
        </w:rPr>
      </w:pPr>
      <w:r w:rsidRPr="00B413E5">
        <w:rPr>
          <w:rFonts w:ascii="Verdana" w:eastAsia="Times New Roman" w:hAnsi="Verdana" w:cs="Times New Roman"/>
          <w:sz w:val="20"/>
          <w:szCs w:val="24"/>
          <w:lang w:eastAsia="en-GB"/>
        </w:rPr>
        <w:t>2. Set out details of the application as prescribed by Order 31, rules 9 to 19 as appropriate to the application in question.</w:t>
      </w:r>
    </w:p>
    <w:p w:rsidR="00B413E5" w:rsidRPr="00B413E5" w:rsidRDefault="00B413E5" w:rsidP="00B413E5">
      <w:pPr>
        <w:spacing w:after="0" w:line="240" w:lineRule="auto"/>
        <w:jc w:val="both"/>
        <w:rPr>
          <w:rFonts w:ascii="Verdana" w:eastAsia="Times New Roman" w:hAnsi="Verdana" w:cs="Times New Roman"/>
          <w:sz w:val="20"/>
          <w:szCs w:val="24"/>
          <w:lang w:eastAsia="en-GB"/>
        </w:rPr>
      </w:pPr>
    </w:p>
    <w:p w:rsidR="00B413E5" w:rsidRPr="00B413E5" w:rsidRDefault="00B413E5" w:rsidP="00B413E5">
      <w:pPr>
        <w:spacing w:after="0" w:line="240" w:lineRule="auto"/>
        <w:jc w:val="both"/>
        <w:rPr>
          <w:rFonts w:ascii="Verdana" w:eastAsia="Times New Roman" w:hAnsi="Verdana" w:cs="Times New Roman"/>
          <w:sz w:val="20"/>
          <w:szCs w:val="24"/>
          <w:lang w:eastAsia="en-GB"/>
        </w:rPr>
      </w:pPr>
      <w:r w:rsidRPr="00B413E5">
        <w:rPr>
          <w:rFonts w:ascii="Verdana" w:eastAsia="Times New Roman" w:hAnsi="Verdana" w:cs="Times New Roman"/>
          <w:sz w:val="20"/>
          <w:szCs w:val="24"/>
          <w:lang w:eastAsia="en-GB"/>
        </w:rPr>
        <w:t>Signed.........</w:t>
      </w:r>
    </w:p>
    <w:p w:rsidR="00B413E5" w:rsidRPr="00B413E5" w:rsidRDefault="00B413E5" w:rsidP="00B413E5">
      <w:pPr>
        <w:spacing w:after="0" w:line="240" w:lineRule="auto"/>
        <w:jc w:val="both"/>
        <w:rPr>
          <w:rFonts w:ascii="Verdana" w:eastAsia="Times New Roman" w:hAnsi="Verdana" w:cs="Times New Roman"/>
          <w:sz w:val="20"/>
          <w:szCs w:val="24"/>
          <w:lang w:eastAsia="en-GB"/>
        </w:rPr>
      </w:pPr>
    </w:p>
    <w:p w:rsidR="00B413E5" w:rsidRPr="00B413E5" w:rsidRDefault="00B413E5" w:rsidP="00B413E5">
      <w:pPr>
        <w:spacing w:after="0" w:line="240" w:lineRule="auto"/>
        <w:jc w:val="both"/>
        <w:rPr>
          <w:rFonts w:ascii="Verdana" w:eastAsia="Times New Roman" w:hAnsi="Verdana" w:cs="Times New Roman"/>
          <w:sz w:val="20"/>
          <w:szCs w:val="24"/>
          <w:lang w:eastAsia="en-GB"/>
        </w:rPr>
      </w:pPr>
      <w:r w:rsidRPr="00B413E5">
        <w:rPr>
          <w:rFonts w:ascii="Verdana" w:eastAsia="Times New Roman" w:hAnsi="Verdana" w:cs="Times New Roman"/>
          <w:sz w:val="20"/>
          <w:szCs w:val="24"/>
          <w:lang w:eastAsia="en-GB"/>
        </w:rPr>
        <w:t>Informant</w:t>
      </w:r>
    </w:p>
    <w:p w:rsidR="00B413E5" w:rsidRPr="00B413E5" w:rsidRDefault="00B413E5" w:rsidP="00B413E5">
      <w:pPr>
        <w:spacing w:after="0" w:line="240" w:lineRule="auto"/>
        <w:jc w:val="both"/>
        <w:rPr>
          <w:rFonts w:ascii="Verdana" w:eastAsia="Times New Roman" w:hAnsi="Verdana" w:cs="Times New Roman"/>
          <w:sz w:val="20"/>
          <w:szCs w:val="24"/>
          <w:lang w:eastAsia="en-GB"/>
        </w:rPr>
      </w:pPr>
    </w:p>
    <w:p w:rsidR="00B413E5" w:rsidRPr="00B413E5" w:rsidRDefault="00B413E5" w:rsidP="00B413E5">
      <w:pPr>
        <w:spacing w:after="0" w:line="240" w:lineRule="auto"/>
        <w:jc w:val="both"/>
        <w:rPr>
          <w:rFonts w:ascii="Verdana" w:eastAsia="Times New Roman" w:hAnsi="Verdana" w:cs="Times New Roman"/>
          <w:sz w:val="20"/>
          <w:szCs w:val="24"/>
          <w:lang w:eastAsia="en-GB"/>
        </w:rPr>
      </w:pPr>
      <w:r w:rsidRPr="00B413E5">
        <w:rPr>
          <w:rFonts w:ascii="Verdana" w:eastAsia="Times New Roman" w:hAnsi="Verdana" w:cs="Times New Roman"/>
          <w:sz w:val="20"/>
          <w:szCs w:val="24"/>
          <w:lang w:eastAsia="en-GB"/>
        </w:rPr>
        <w:t>SWORN before me this ....... day of ............ 20.....</w:t>
      </w:r>
    </w:p>
    <w:p w:rsidR="00B413E5" w:rsidRPr="00B413E5" w:rsidRDefault="00B413E5" w:rsidP="00B413E5">
      <w:pPr>
        <w:spacing w:after="0" w:line="240" w:lineRule="auto"/>
        <w:jc w:val="both"/>
        <w:rPr>
          <w:rFonts w:ascii="Verdana" w:eastAsia="Times New Roman" w:hAnsi="Verdana" w:cs="Times New Roman"/>
          <w:sz w:val="20"/>
          <w:szCs w:val="24"/>
          <w:lang w:eastAsia="en-GB"/>
        </w:rPr>
      </w:pPr>
    </w:p>
    <w:p w:rsidR="00B413E5" w:rsidRPr="00B413E5" w:rsidRDefault="00B413E5" w:rsidP="00B413E5">
      <w:pPr>
        <w:spacing w:after="0" w:line="240" w:lineRule="auto"/>
        <w:jc w:val="both"/>
        <w:rPr>
          <w:rFonts w:ascii="Verdana" w:eastAsia="Times New Roman" w:hAnsi="Verdana" w:cs="Times New Roman"/>
          <w:sz w:val="20"/>
          <w:szCs w:val="24"/>
          <w:lang w:eastAsia="en-GB"/>
        </w:rPr>
      </w:pPr>
      <w:r w:rsidRPr="00B413E5">
        <w:rPr>
          <w:rFonts w:ascii="Verdana" w:eastAsia="Times New Roman" w:hAnsi="Verdana" w:cs="Times New Roman"/>
          <w:sz w:val="20"/>
          <w:szCs w:val="24"/>
          <w:lang w:eastAsia="en-GB"/>
        </w:rPr>
        <w:t>Signed......................</w:t>
      </w:r>
    </w:p>
    <w:p w:rsidR="00B413E5" w:rsidRPr="00B413E5" w:rsidRDefault="00B413E5" w:rsidP="00B413E5">
      <w:pPr>
        <w:spacing w:after="0" w:line="240" w:lineRule="auto"/>
        <w:jc w:val="both"/>
        <w:rPr>
          <w:rFonts w:ascii="Verdana" w:eastAsia="Times New Roman" w:hAnsi="Verdana" w:cs="Times New Roman"/>
          <w:sz w:val="20"/>
          <w:szCs w:val="24"/>
          <w:lang w:eastAsia="en-GB"/>
        </w:rPr>
      </w:pPr>
    </w:p>
    <w:p w:rsidR="00B413E5" w:rsidRPr="00B413E5" w:rsidRDefault="00B413E5" w:rsidP="00B413E5">
      <w:pPr>
        <w:spacing w:after="0" w:line="240" w:lineRule="auto"/>
        <w:jc w:val="both"/>
        <w:rPr>
          <w:rFonts w:ascii="Verdana" w:eastAsia="Times New Roman" w:hAnsi="Verdana" w:cs="Times New Roman"/>
          <w:sz w:val="20"/>
          <w:szCs w:val="24"/>
          <w:lang w:eastAsia="en-GB"/>
        </w:rPr>
      </w:pPr>
      <w:r w:rsidRPr="00B413E5">
        <w:rPr>
          <w:rFonts w:ascii="Verdana" w:eastAsia="Times New Roman" w:hAnsi="Verdana" w:cs="Times New Roman"/>
          <w:sz w:val="20"/>
          <w:szCs w:val="24"/>
          <w:lang w:eastAsia="en-GB"/>
        </w:rPr>
        <w:t>Judge of the District Court</w:t>
      </w:r>
    </w:p>
    <w:p w:rsidR="00B413E5" w:rsidRPr="00B413E5" w:rsidRDefault="00B413E5" w:rsidP="00B413E5">
      <w:pPr>
        <w:spacing w:after="0" w:line="240" w:lineRule="auto"/>
        <w:jc w:val="both"/>
        <w:rPr>
          <w:rFonts w:ascii="Verdana" w:eastAsia="Times New Roman" w:hAnsi="Verdana" w:cs="Times New Roman"/>
          <w:sz w:val="20"/>
          <w:szCs w:val="24"/>
          <w:lang w:eastAsia="en-GB"/>
        </w:rPr>
      </w:pPr>
    </w:p>
    <w:p w:rsidR="00B413E5" w:rsidRPr="00B413E5" w:rsidRDefault="00B413E5" w:rsidP="00B413E5">
      <w:pPr>
        <w:spacing w:after="0" w:line="240" w:lineRule="auto"/>
        <w:jc w:val="both"/>
        <w:rPr>
          <w:rFonts w:ascii="Verdana" w:eastAsia="Times New Roman" w:hAnsi="Verdana" w:cs="Times New Roman"/>
          <w:sz w:val="20"/>
          <w:szCs w:val="24"/>
          <w:lang w:eastAsia="en-GB"/>
        </w:rPr>
      </w:pPr>
      <w:r w:rsidRPr="00B413E5">
        <w:rPr>
          <w:rFonts w:ascii="Verdana" w:eastAsia="Times New Roman" w:hAnsi="Verdana" w:cs="Times New Roman"/>
          <w:sz w:val="20"/>
          <w:szCs w:val="24"/>
          <w:lang w:eastAsia="en-GB"/>
        </w:rPr>
        <w:t>*Delete words inapplicable</w:t>
      </w:r>
    </w:p>
    <w:p w:rsidR="00B413E5" w:rsidRPr="00B413E5" w:rsidRDefault="00B413E5" w:rsidP="00B413E5">
      <w:pPr>
        <w:spacing w:after="0" w:line="240" w:lineRule="auto"/>
        <w:jc w:val="both"/>
        <w:rPr>
          <w:rFonts w:ascii="Verdana" w:eastAsia="Times New Roman" w:hAnsi="Verdana" w:cs="Times New Roman"/>
          <w:sz w:val="20"/>
          <w:szCs w:val="24"/>
          <w:lang w:eastAsia="en-GB"/>
        </w:rPr>
      </w:pPr>
    </w:p>
    <w:p w:rsidR="00266EFD" w:rsidRPr="00B413E5" w:rsidRDefault="00266EFD" w:rsidP="00B413E5">
      <w:pPr>
        <w:spacing w:after="0" w:line="240" w:lineRule="auto"/>
        <w:jc w:val="center"/>
        <w:rPr>
          <w:rFonts w:ascii="Verdana" w:hAnsi="Verdana"/>
          <w:sz w:val="20"/>
          <w:szCs w:val="20"/>
        </w:rPr>
      </w:pPr>
    </w:p>
    <w:sectPr w:rsidR="00266EFD" w:rsidRPr="00B413E5" w:rsidSect="00450767">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CD0" w:rsidRDefault="00D71CD0" w:rsidP="00D71CD0">
      <w:pPr>
        <w:spacing w:after="0" w:line="240" w:lineRule="auto"/>
      </w:pPr>
      <w:r>
        <w:separator/>
      </w:r>
    </w:p>
  </w:endnote>
  <w:endnote w:type="continuationSeparator" w:id="0">
    <w:p w:rsidR="00D71CD0" w:rsidRDefault="00D71CD0" w:rsidP="00D71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CD0" w:rsidRDefault="00D71CD0" w:rsidP="00D71CD0">
      <w:pPr>
        <w:spacing w:after="0" w:line="240" w:lineRule="auto"/>
      </w:pPr>
      <w:r>
        <w:separator/>
      </w:r>
    </w:p>
  </w:footnote>
  <w:footnote w:type="continuationSeparator" w:id="0">
    <w:p w:rsidR="00D71CD0" w:rsidRDefault="00D71CD0" w:rsidP="00D71C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DD8"/>
    <w:rsid w:val="000C3DDA"/>
    <w:rsid w:val="001261DB"/>
    <w:rsid w:val="0014332A"/>
    <w:rsid w:val="00191044"/>
    <w:rsid w:val="00224876"/>
    <w:rsid w:val="00266EFD"/>
    <w:rsid w:val="002C3E9B"/>
    <w:rsid w:val="003103D5"/>
    <w:rsid w:val="003A399B"/>
    <w:rsid w:val="00412FB0"/>
    <w:rsid w:val="00450767"/>
    <w:rsid w:val="00501047"/>
    <w:rsid w:val="00551803"/>
    <w:rsid w:val="005A1CAC"/>
    <w:rsid w:val="005B39B6"/>
    <w:rsid w:val="0070753F"/>
    <w:rsid w:val="00732381"/>
    <w:rsid w:val="00864C1C"/>
    <w:rsid w:val="00B413E5"/>
    <w:rsid w:val="00B55DD8"/>
    <w:rsid w:val="00B8568F"/>
    <w:rsid w:val="00C24FE7"/>
    <w:rsid w:val="00C26B28"/>
    <w:rsid w:val="00CC0397"/>
    <w:rsid w:val="00D71CD0"/>
    <w:rsid w:val="00EA27F5"/>
    <w:rsid w:val="00F10F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25D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5DD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Header">
    <w:name w:val="header"/>
    <w:basedOn w:val="Normal"/>
    <w:link w:val="HeaderChar"/>
    <w:uiPriority w:val="99"/>
    <w:unhideWhenUsed/>
    <w:rsid w:val="00D71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CD0"/>
  </w:style>
  <w:style w:type="paragraph" w:styleId="Footer">
    <w:name w:val="footer"/>
    <w:basedOn w:val="Normal"/>
    <w:link w:val="FooterChar"/>
    <w:uiPriority w:val="99"/>
    <w:unhideWhenUsed/>
    <w:rsid w:val="00D71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454415">
      <w:bodyDiv w:val="1"/>
      <w:marLeft w:val="0"/>
      <w:marRight w:val="0"/>
      <w:marTop w:val="0"/>
      <w:marBottom w:val="0"/>
      <w:divBdr>
        <w:top w:val="none" w:sz="0" w:space="0" w:color="auto"/>
        <w:left w:val="none" w:sz="0" w:space="0" w:color="auto"/>
        <w:bottom w:val="none" w:sz="0" w:space="0" w:color="auto"/>
        <w:right w:val="none" w:sz="0" w:space="0" w:color="auto"/>
      </w:divBdr>
      <w:divsChild>
        <w:div w:id="255066458">
          <w:marLeft w:val="0"/>
          <w:marRight w:val="0"/>
          <w:marTop w:val="0"/>
          <w:marBottom w:val="0"/>
          <w:divBdr>
            <w:top w:val="none" w:sz="0" w:space="0" w:color="auto"/>
            <w:left w:val="none" w:sz="0" w:space="0" w:color="auto"/>
            <w:bottom w:val="none" w:sz="0" w:space="0" w:color="auto"/>
            <w:right w:val="none" w:sz="0" w:space="0" w:color="auto"/>
          </w:divBdr>
        </w:div>
      </w:divsChild>
    </w:div>
    <w:div w:id="789931541">
      <w:bodyDiv w:val="1"/>
      <w:marLeft w:val="0"/>
      <w:marRight w:val="0"/>
      <w:marTop w:val="0"/>
      <w:marBottom w:val="0"/>
      <w:divBdr>
        <w:top w:val="none" w:sz="0" w:space="0" w:color="auto"/>
        <w:left w:val="none" w:sz="0" w:space="0" w:color="auto"/>
        <w:bottom w:val="none" w:sz="0" w:space="0" w:color="auto"/>
        <w:right w:val="none" w:sz="0" w:space="0" w:color="auto"/>
      </w:divBdr>
    </w:div>
    <w:div w:id="968171415">
      <w:bodyDiv w:val="1"/>
      <w:marLeft w:val="0"/>
      <w:marRight w:val="0"/>
      <w:marTop w:val="0"/>
      <w:marBottom w:val="0"/>
      <w:divBdr>
        <w:top w:val="none" w:sz="0" w:space="0" w:color="auto"/>
        <w:left w:val="none" w:sz="0" w:space="0" w:color="auto"/>
        <w:bottom w:val="none" w:sz="0" w:space="0" w:color="auto"/>
        <w:right w:val="none" w:sz="0" w:space="0" w:color="auto"/>
      </w:divBdr>
    </w:div>
    <w:div w:id="120659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4490</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31.12</dc:title>
  <dc:subject>Information</dc:subject>
  <dc:creator/>
  <cp:keywords>Criminal Justice (Forensic Evidence and DNA Database System) Act 2014 (No. 11 of 2014) (the “Act of 2014”); Criminal Justice (Mutual Assistance) Act 2008 (No. 7 of 2008)(the “Act of 2008”); International Criminal Court Act 2006 (No. 30 of 2006)(the “Act of 2006”)</cp:keywords>
  <dc:description/>
  <cp:lastModifiedBy/>
  <cp:revision>1</cp:revision>
  <dcterms:created xsi:type="dcterms:W3CDTF">2021-02-09T11:42:00Z</dcterms:created>
  <dcterms:modified xsi:type="dcterms:W3CDTF">2021-02-09T11:50:00Z</dcterms:modified>
  <cp:category>Form</cp:category>
</cp:coreProperties>
</file>